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E16" w:rsidRPr="005E79F6" w:rsidRDefault="00D53821" w:rsidP="006433CF">
      <w:pPr>
        <w:jc w:val="center"/>
        <w:rPr>
          <w:rFonts w:cs="Arial"/>
          <w:sz w:val="32"/>
          <w:szCs w:val="32"/>
        </w:rPr>
      </w:pPr>
      <w:r>
        <w:rPr>
          <w:sz w:val="32"/>
          <w:szCs w:val="32"/>
        </w:rPr>
        <w:t>Ministère des Ressources naturelles</w:t>
      </w:r>
    </w:p>
    <w:p w:rsidR="00D53821" w:rsidRPr="005E79F6" w:rsidRDefault="00D53821" w:rsidP="006433CF">
      <w:pPr>
        <w:jc w:val="center"/>
        <w:rPr>
          <w:rFonts w:cs="Arial"/>
        </w:rPr>
      </w:pPr>
    </w:p>
    <w:p w:rsidR="00D53821" w:rsidRPr="005E79F6" w:rsidRDefault="00D53821" w:rsidP="006433CF">
      <w:pPr>
        <w:jc w:val="center"/>
        <w:rPr>
          <w:rFonts w:cs="Arial"/>
        </w:rPr>
      </w:pPr>
    </w:p>
    <w:p w:rsidR="00D53821" w:rsidRPr="005E79F6" w:rsidRDefault="00D53821" w:rsidP="006433CF">
      <w:pPr>
        <w:jc w:val="center"/>
        <w:rPr>
          <w:rFonts w:cs="Arial"/>
        </w:rPr>
      </w:pPr>
    </w:p>
    <w:p w:rsidR="00D53821" w:rsidRPr="005E79F6" w:rsidRDefault="00D53821" w:rsidP="006433CF">
      <w:pPr>
        <w:jc w:val="center"/>
        <w:rPr>
          <w:rFonts w:cs="Arial"/>
        </w:rPr>
      </w:pPr>
    </w:p>
    <w:p w:rsidR="00D53821" w:rsidRPr="005E79F6" w:rsidRDefault="00D53821" w:rsidP="006433CF">
      <w:pPr>
        <w:jc w:val="center"/>
        <w:rPr>
          <w:rFonts w:cs="Arial"/>
        </w:rPr>
      </w:pPr>
    </w:p>
    <w:p w:rsidR="00D53821" w:rsidRPr="005E79F6" w:rsidRDefault="00D53821" w:rsidP="006433CF">
      <w:pPr>
        <w:jc w:val="center"/>
        <w:rPr>
          <w:rFonts w:cs="Arial"/>
        </w:rPr>
      </w:pPr>
    </w:p>
    <w:p w:rsidR="00D53821" w:rsidRPr="005E79F6" w:rsidRDefault="00D53821" w:rsidP="006433CF">
      <w:pPr>
        <w:jc w:val="center"/>
        <w:rPr>
          <w:rFonts w:cs="Arial"/>
        </w:rPr>
      </w:pPr>
    </w:p>
    <w:p w:rsidR="00D53821" w:rsidRPr="005E79F6" w:rsidRDefault="00D53821" w:rsidP="006433CF">
      <w:pPr>
        <w:jc w:val="center"/>
        <w:rPr>
          <w:rFonts w:cs="Arial"/>
        </w:rPr>
      </w:pPr>
    </w:p>
    <w:p w:rsidR="00D53821" w:rsidRPr="005E79F6" w:rsidRDefault="00D53821" w:rsidP="006433CF">
      <w:pPr>
        <w:jc w:val="center"/>
        <w:rPr>
          <w:rFonts w:cs="Arial"/>
        </w:rPr>
      </w:pPr>
    </w:p>
    <w:p w:rsidR="00B45242" w:rsidRPr="00B45242" w:rsidRDefault="00B45242" w:rsidP="006433CF">
      <w:pPr>
        <w:rPr>
          <w:rFonts w:cs="Arial"/>
          <w:b/>
          <w:color w:val="008000"/>
          <w:sz w:val="44"/>
          <w:szCs w:val="44"/>
        </w:rPr>
      </w:pPr>
      <w:r>
        <w:rPr>
          <w:b/>
          <w:color w:val="008000"/>
          <w:sz w:val="44"/>
          <w:szCs w:val="44"/>
        </w:rPr>
        <w:br/>
      </w:r>
    </w:p>
    <w:p w:rsidR="006433CF" w:rsidRDefault="00B86FCB" w:rsidP="006433CF">
      <w:pPr>
        <w:jc w:val="center"/>
        <w:rPr>
          <w:b/>
          <w:color w:val="008000"/>
          <w:sz w:val="44"/>
          <w:szCs w:val="44"/>
        </w:rPr>
      </w:pPr>
      <w:r>
        <w:rPr>
          <w:b/>
          <w:color w:val="008000"/>
          <w:sz w:val="44"/>
          <w:szCs w:val="44"/>
        </w:rPr>
        <w:t xml:space="preserve">Programme de </w:t>
      </w:r>
      <w:r w:rsidR="00711E0E">
        <w:rPr>
          <w:b/>
          <w:color w:val="008000"/>
          <w:sz w:val="44"/>
          <w:szCs w:val="44"/>
        </w:rPr>
        <w:t xml:space="preserve">la </w:t>
      </w:r>
      <w:r>
        <w:rPr>
          <w:b/>
          <w:color w:val="008000"/>
          <w:sz w:val="44"/>
          <w:szCs w:val="44"/>
        </w:rPr>
        <w:t>cybersécurité et de l</w:t>
      </w:r>
      <w:r w:rsidR="006433CF">
        <w:rPr>
          <w:b/>
          <w:color w:val="008000"/>
          <w:sz w:val="44"/>
          <w:szCs w:val="44"/>
        </w:rPr>
        <w:t>’</w:t>
      </w:r>
      <w:r>
        <w:rPr>
          <w:b/>
          <w:color w:val="008000"/>
          <w:sz w:val="44"/>
          <w:szCs w:val="44"/>
        </w:rPr>
        <w:t>infrastructure énergétique essentielle</w:t>
      </w:r>
    </w:p>
    <w:p w:rsidR="00D53821" w:rsidRDefault="00D53821" w:rsidP="006433CF">
      <w:pPr>
        <w:jc w:val="right"/>
        <w:rPr>
          <w:rFonts w:cs="Arial"/>
          <w:b/>
          <w:color w:val="008000"/>
          <w:sz w:val="44"/>
          <w:szCs w:val="44"/>
        </w:rPr>
      </w:pPr>
    </w:p>
    <w:p w:rsidR="00B45242" w:rsidRPr="00B45242" w:rsidRDefault="00B45242" w:rsidP="006433CF">
      <w:pPr>
        <w:jc w:val="right"/>
        <w:rPr>
          <w:rFonts w:cs="Arial"/>
          <w:b/>
          <w:color w:val="008000"/>
          <w:sz w:val="44"/>
          <w:szCs w:val="44"/>
        </w:rPr>
      </w:pPr>
    </w:p>
    <w:p w:rsidR="00D53821" w:rsidRPr="00B45242" w:rsidRDefault="00D53821" w:rsidP="006433CF">
      <w:pPr>
        <w:jc w:val="center"/>
        <w:rPr>
          <w:rFonts w:cs="Arial"/>
        </w:rPr>
      </w:pPr>
    </w:p>
    <w:p w:rsidR="00D53821" w:rsidRPr="00B45242" w:rsidRDefault="00D53821" w:rsidP="006433CF">
      <w:pPr>
        <w:jc w:val="center"/>
        <w:rPr>
          <w:rFonts w:cs="Arial"/>
        </w:rPr>
      </w:pPr>
    </w:p>
    <w:p w:rsidR="00D53821" w:rsidRPr="00A312DE" w:rsidRDefault="00B3346C" w:rsidP="006433CF">
      <w:pPr>
        <w:jc w:val="center"/>
        <w:rPr>
          <w:rFonts w:cs="Arial"/>
          <w:sz w:val="36"/>
          <w:szCs w:val="36"/>
        </w:rPr>
      </w:pPr>
      <w:r>
        <w:rPr>
          <w:sz w:val="36"/>
          <w:szCs w:val="36"/>
        </w:rPr>
        <w:t xml:space="preserve"> G</w:t>
      </w:r>
      <w:r w:rsidR="007C64AA">
        <w:rPr>
          <w:sz w:val="36"/>
          <w:szCs w:val="36"/>
        </w:rPr>
        <w:t>uide du demandeur</w:t>
      </w:r>
    </w:p>
    <w:p w:rsidR="00A435A7" w:rsidRPr="00A312DE" w:rsidRDefault="00A435A7" w:rsidP="006433CF">
      <w:pPr>
        <w:jc w:val="center"/>
        <w:rPr>
          <w:rFonts w:cs="Tahoma"/>
          <w:sz w:val="32"/>
          <w:szCs w:val="32"/>
        </w:rPr>
      </w:pPr>
    </w:p>
    <w:p w:rsidR="00A435A7" w:rsidRPr="00A312DE" w:rsidRDefault="00F95409" w:rsidP="006433CF">
      <w:pPr>
        <w:jc w:val="center"/>
        <w:rPr>
          <w:rFonts w:cs="Tahoma"/>
          <w:sz w:val="24"/>
        </w:rPr>
      </w:pPr>
      <w:r>
        <w:rPr>
          <w:sz w:val="24"/>
        </w:rPr>
        <w:t>Avril 2019</w:t>
      </w:r>
    </w:p>
    <w:p w:rsidR="00A435A7" w:rsidRPr="00822394" w:rsidRDefault="00A435A7" w:rsidP="006433CF">
      <w:pPr>
        <w:jc w:val="center"/>
        <w:rPr>
          <w:rFonts w:cs="Tahoma"/>
          <w:sz w:val="32"/>
          <w:szCs w:val="32"/>
        </w:rPr>
      </w:pPr>
    </w:p>
    <w:p w:rsidR="00783160" w:rsidRDefault="00783160" w:rsidP="006433CF">
      <w:pPr>
        <w:rPr>
          <w:rFonts w:cs="Arial"/>
          <w:sz w:val="20"/>
          <w:szCs w:val="20"/>
        </w:rPr>
      </w:pPr>
    </w:p>
    <w:p w:rsidR="00A435A7" w:rsidRPr="005E79F6" w:rsidRDefault="00A435A7" w:rsidP="006433CF">
      <w:r>
        <w:tab/>
      </w:r>
      <w:r>
        <w:tab/>
      </w:r>
      <w:r>
        <w:tab/>
      </w:r>
      <w:r>
        <w:tab/>
      </w:r>
      <w:r>
        <w:tab/>
      </w:r>
      <w:r>
        <w:tab/>
      </w:r>
      <w:r>
        <w:tab/>
      </w:r>
    </w:p>
    <w:p w:rsidR="00A435A7" w:rsidRPr="005E79F6" w:rsidRDefault="00A435A7" w:rsidP="006433CF"/>
    <w:p w:rsidR="00924541" w:rsidRDefault="00924541" w:rsidP="006433CF"/>
    <w:p w:rsidR="00B86FCB" w:rsidRDefault="00B86FCB" w:rsidP="006433CF"/>
    <w:p w:rsidR="00B86FCB" w:rsidRDefault="00B86FCB" w:rsidP="006433CF"/>
    <w:p w:rsidR="00B86FCB" w:rsidRDefault="00B86FCB" w:rsidP="006433CF"/>
    <w:p w:rsidR="00B86FCB" w:rsidRDefault="00B86FCB" w:rsidP="006433CF"/>
    <w:p w:rsidR="00B86FCB" w:rsidRDefault="00B86FCB" w:rsidP="006433CF"/>
    <w:p w:rsidR="00B86FCB" w:rsidRDefault="00B86FCB" w:rsidP="006433CF"/>
    <w:p w:rsidR="00B86FCB" w:rsidRDefault="00B86FCB" w:rsidP="006433CF"/>
    <w:p w:rsidR="00B86FCB" w:rsidRDefault="00B86FCB" w:rsidP="006433CF"/>
    <w:p w:rsidR="00B86FCB" w:rsidRDefault="00B86FCB" w:rsidP="006433CF"/>
    <w:p w:rsidR="00B86FCB" w:rsidRDefault="00B86FCB" w:rsidP="006433CF"/>
    <w:p w:rsidR="00B86FCB" w:rsidRDefault="00B86FCB" w:rsidP="006433CF"/>
    <w:p w:rsidR="00683BDE" w:rsidRDefault="002202ED" w:rsidP="006433CF">
      <w:r>
        <w:rPr>
          <w:noProof/>
          <w:lang w:val="en-CA" w:eastAsia="en-CA"/>
        </w:rPr>
        <w:drawing>
          <wp:anchor distT="0" distB="0" distL="114300" distR="114300" simplePos="0" relativeHeight="251657216" behindDoc="0" locked="0" layoutInCell="1" allowOverlap="1" wp14:anchorId="2420C5D4" wp14:editId="1856152F">
            <wp:simplePos x="0" y="0"/>
            <wp:positionH relativeFrom="column">
              <wp:posOffset>4446270</wp:posOffset>
            </wp:positionH>
            <wp:positionV relativeFrom="paragraph">
              <wp:posOffset>15240</wp:posOffset>
            </wp:positionV>
            <wp:extent cx="1424940" cy="542925"/>
            <wp:effectExtent l="0" t="0" r="0" b="0"/>
            <wp:wrapNone/>
            <wp:docPr id="7" name="Picture 7" descr="canada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nada wordmar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4940" cy="542925"/>
                    </a:xfrm>
                    <a:prstGeom prst="rect">
                      <a:avLst/>
                    </a:prstGeom>
                    <a:noFill/>
                  </pic:spPr>
                </pic:pic>
              </a:graphicData>
            </a:graphic>
            <wp14:sizeRelH relativeFrom="page">
              <wp14:pctWidth>0</wp14:pctWidth>
            </wp14:sizeRelH>
            <wp14:sizeRelV relativeFrom="page">
              <wp14:pctHeight>0</wp14:pctHeight>
            </wp14:sizeRelV>
          </wp:anchor>
        </w:drawing>
      </w:r>
    </w:p>
    <w:p w:rsidR="00954B37" w:rsidRPr="00683BDE" w:rsidRDefault="00726809" w:rsidP="006433CF">
      <w:pPr>
        <w:ind w:left="440"/>
        <w:rPr>
          <w:rFonts w:ascii="Times New Roman" w:hAnsi="Times New Roman"/>
          <w:b/>
          <w:sz w:val="24"/>
        </w:rPr>
      </w:pPr>
      <w:bookmarkStart w:id="0" w:name="OLE_LINK3"/>
      <w:bookmarkStart w:id="1" w:name="OLE_LINK4"/>
      <w:r>
        <w:rPr>
          <w:rFonts w:ascii="Times New Roman" w:hAnsi="Times New Roman"/>
          <w:b/>
          <w:sz w:val="24"/>
        </w:rPr>
        <w:t>Ressources naturelles</w:t>
      </w:r>
      <w:r w:rsidR="002202ED">
        <w:rPr>
          <w:noProof/>
          <w:lang w:val="en-CA" w:eastAsia="en-CA"/>
        </w:rPr>
        <w:drawing>
          <wp:anchor distT="0" distB="0" distL="114300" distR="114300" simplePos="0" relativeHeight="251658240" behindDoc="0" locked="0" layoutInCell="1" allowOverlap="1" wp14:anchorId="18520C31" wp14:editId="76CC1298">
            <wp:simplePos x="0" y="0"/>
            <wp:positionH relativeFrom="column">
              <wp:posOffset>-291465</wp:posOffset>
            </wp:positionH>
            <wp:positionV relativeFrom="paragraph">
              <wp:posOffset>21590</wp:posOffset>
            </wp:positionV>
            <wp:extent cx="502920" cy="237490"/>
            <wp:effectExtent l="0" t="0" r="0" b="0"/>
            <wp:wrapNone/>
            <wp:docPr id="13" name="Picture 13" descr="canada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anada fla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2920" cy="237490"/>
                    </a:xfrm>
                    <a:prstGeom prst="rect">
                      <a:avLst/>
                    </a:prstGeom>
                    <a:noFill/>
                  </pic:spPr>
                </pic:pic>
              </a:graphicData>
            </a:graphic>
            <wp14:sizeRelH relativeFrom="page">
              <wp14:pctWidth>0</wp14:pctWidth>
            </wp14:sizeRelH>
            <wp14:sizeRelV relativeFrom="page">
              <wp14:pctHeight>0</wp14:pctHeight>
            </wp14:sizeRelV>
          </wp:anchor>
        </w:drawing>
      </w:r>
      <w:r w:rsidR="002202ED">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Natural </w:t>
      </w:r>
      <w:proofErr w:type="spellStart"/>
      <w:r>
        <w:rPr>
          <w:rFonts w:ascii="Times New Roman" w:hAnsi="Times New Roman"/>
          <w:b/>
          <w:sz w:val="24"/>
        </w:rPr>
        <w:t>Resources</w:t>
      </w:r>
      <w:proofErr w:type="spellEnd"/>
    </w:p>
    <w:p w:rsidR="00954B37" w:rsidRPr="00683BDE" w:rsidRDefault="00954B37" w:rsidP="006433CF">
      <w:pPr>
        <w:ind w:left="440" w:hanging="440"/>
        <w:rPr>
          <w:rFonts w:ascii="Times New Roman" w:hAnsi="Times New Roman"/>
          <w:b/>
          <w:sz w:val="24"/>
        </w:rPr>
      </w:pPr>
      <w:r>
        <w:rPr>
          <w:b/>
        </w:rPr>
        <w:tab/>
      </w:r>
      <w:r>
        <w:rPr>
          <w:rFonts w:ascii="Times New Roman" w:hAnsi="Times New Roman"/>
          <w:b/>
          <w:sz w:val="24"/>
        </w:rPr>
        <w:t xml:space="preserve">Canada </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proofErr w:type="spellStart"/>
      <w:r>
        <w:rPr>
          <w:rFonts w:ascii="Times New Roman" w:hAnsi="Times New Roman"/>
          <w:b/>
          <w:sz w:val="24"/>
        </w:rPr>
        <w:t>Canada</w:t>
      </w:r>
      <w:proofErr w:type="spellEnd"/>
    </w:p>
    <w:bookmarkEnd w:id="0"/>
    <w:bookmarkEnd w:id="1"/>
    <w:p w:rsidR="00683BDE" w:rsidRDefault="00683BDE" w:rsidP="006433CF">
      <w:pPr>
        <w:rPr>
          <w:rStyle w:val="HeaderChar"/>
          <w:rFonts w:cs="Arial"/>
          <w:szCs w:val="32"/>
        </w:rPr>
        <w:sectPr w:rsidR="00683BDE" w:rsidSect="00454F7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1440" w:footer="1440" w:gutter="0"/>
          <w:pgNumType w:start="1"/>
          <w:cols w:space="720"/>
          <w:noEndnote/>
        </w:sectPr>
      </w:pPr>
    </w:p>
    <w:p w:rsidR="00A435A7" w:rsidRDefault="00A435A7" w:rsidP="006433CF">
      <w:pPr>
        <w:rPr>
          <w:rStyle w:val="HeaderChar"/>
          <w:rFonts w:cs="Arial"/>
          <w:szCs w:val="32"/>
        </w:rPr>
      </w:pPr>
      <w:bookmarkStart w:id="2" w:name="_Toc483487981"/>
      <w:r>
        <w:rPr>
          <w:rStyle w:val="HeaderChar"/>
          <w:szCs w:val="32"/>
        </w:rPr>
        <w:lastRenderedPageBreak/>
        <w:t>Table des matières</w:t>
      </w:r>
      <w:bookmarkEnd w:id="2"/>
    </w:p>
    <w:p w:rsidR="00727C2B" w:rsidRDefault="00727C2B" w:rsidP="006433CF">
      <w:pPr>
        <w:pStyle w:val="TOC1"/>
        <w:tabs>
          <w:tab w:val="right" w:leader="dot" w:pos="9350"/>
        </w:tabs>
        <w:rPr>
          <w:rStyle w:val="HeaderChar"/>
          <w:rFonts w:cs="Arial"/>
          <w:szCs w:val="32"/>
        </w:rPr>
      </w:pPr>
    </w:p>
    <w:p w:rsidR="0014046B" w:rsidRDefault="003909B1">
      <w:pPr>
        <w:pStyle w:val="TOC1"/>
        <w:tabs>
          <w:tab w:val="left" w:pos="480"/>
          <w:tab w:val="right" w:leader="dot" w:pos="9360"/>
        </w:tabs>
        <w:rPr>
          <w:rFonts w:asciiTheme="minorHAnsi" w:eastAsiaTheme="minorEastAsia" w:hAnsiTheme="minorHAnsi" w:cstheme="minorBidi"/>
          <w:noProof/>
          <w:szCs w:val="22"/>
          <w:lang w:val="en-CA" w:eastAsia="en-CA"/>
        </w:rPr>
      </w:pPr>
      <w:r>
        <w:fldChar w:fldCharType="begin"/>
      </w:r>
      <w:r>
        <w:instrText xml:space="preserve"> TOC \o "1-2" \h \z \u </w:instrText>
      </w:r>
      <w:r>
        <w:fldChar w:fldCharType="separate"/>
      </w:r>
      <w:hyperlink w:anchor="_Toc1718644" w:history="1">
        <w:r w:rsidR="0014046B" w:rsidRPr="00BB25CD">
          <w:rPr>
            <w:rStyle w:val="Hyperlink"/>
            <w:noProof/>
          </w:rPr>
          <w:t>1</w:t>
        </w:r>
        <w:r w:rsidR="0014046B">
          <w:rPr>
            <w:rFonts w:asciiTheme="minorHAnsi" w:eastAsiaTheme="minorEastAsia" w:hAnsiTheme="minorHAnsi" w:cstheme="minorBidi"/>
            <w:noProof/>
            <w:szCs w:val="22"/>
            <w:lang w:val="en-CA" w:eastAsia="en-CA"/>
          </w:rPr>
          <w:tab/>
        </w:r>
        <w:r w:rsidR="0014046B" w:rsidRPr="00BB25CD">
          <w:rPr>
            <w:rStyle w:val="Hyperlink"/>
            <w:noProof/>
          </w:rPr>
          <w:t>Avis de non-responsabilité</w:t>
        </w:r>
        <w:r w:rsidR="0014046B">
          <w:rPr>
            <w:noProof/>
            <w:webHidden/>
          </w:rPr>
          <w:tab/>
        </w:r>
        <w:r w:rsidR="0014046B">
          <w:rPr>
            <w:noProof/>
            <w:webHidden/>
          </w:rPr>
          <w:fldChar w:fldCharType="begin"/>
        </w:r>
        <w:r w:rsidR="0014046B">
          <w:rPr>
            <w:noProof/>
            <w:webHidden/>
          </w:rPr>
          <w:instrText xml:space="preserve"> PAGEREF _Toc1718644 \h </w:instrText>
        </w:r>
        <w:r w:rsidR="0014046B">
          <w:rPr>
            <w:noProof/>
            <w:webHidden/>
          </w:rPr>
        </w:r>
        <w:r w:rsidR="0014046B">
          <w:rPr>
            <w:noProof/>
            <w:webHidden/>
          </w:rPr>
          <w:fldChar w:fldCharType="separate"/>
        </w:r>
        <w:r w:rsidR="0014046B">
          <w:rPr>
            <w:noProof/>
            <w:webHidden/>
          </w:rPr>
          <w:t>1</w:t>
        </w:r>
        <w:r w:rsidR="0014046B">
          <w:rPr>
            <w:noProof/>
            <w:webHidden/>
          </w:rPr>
          <w:fldChar w:fldCharType="end"/>
        </w:r>
      </w:hyperlink>
    </w:p>
    <w:p w:rsidR="0014046B" w:rsidRDefault="00196A17">
      <w:pPr>
        <w:pStyle w:val="TOC1"/>
        <w:tabs>
          <w:tab w:val="left" w:pos="480"/>
          <w:tab w:val="right" w:leader="dot" w:pos="9360"/>
        </w:tabs>
        <w:rPr>
          <w:rFonts w:asciiTheme="minorHAnsi" w:eastAsiaTheme="minorEastAsia" w:hAnsiTheme="minorHAnsi" w:cstheme="minorBidi"/>
          <w:noProof/>
          <w:szCs w:val="22"/>
          <w:lang w:val="en-CA" w:eastAsia="en-CA"/>
        </w:rPr>
      </w:pPr>
      <w:hyperlink w:anchor="_Toc1718645" w:history="1">
        <w:r w:rsidR="0014046B" w:rsidRPr="00BB25CD">
          <w:rPr>
            <w:rStyle w:val="Hyperlink"/>
            <w:noProof/>
          </w:rPr>
          <w:t>2</w:t>
        </w:r>
        <w:r w:rsidR="0014046B">
          <w:rPr>
            <w:rFonts w:asciiTheme="minorHAnsi" w:eastAsiaTheme="minorEastAsia" w:hAnsiTheme="minorHAnsi" w:cstheme="minorBidi"/>
            <w:noProof/>
            <w:szCs w:val="22"/>
            <w:lang w:val="en-CA" w:eastAsia="en-CA"/>
          </w:rPr>
          <w:tab/>
        </w:r>
        <w:r w:rsidR="0014046B" w:rsidRPr="00BB25CD">
          <w:rPr>
            <w:rStyle w:val="Hyperlink"/>
            <w:noProof/>
          </w:rPr>
          <w:t>Définitions</w:t>
        </w:r>
        <w:r w:rsidR="0014046B">
          <w:rPr>
            <w:noProof/>
            <w:webHidden/>
          </w:rPr>
          <w:tab/>
        </w:r>
        <w:r w:rsidR="0014046B">
          <w:rPr>
            <w:noProof/>
            <w:webHidden/>
          </w:rPr>
          <w:fldChar w:fldCharType="begin"/>
        </w:r>
        <w:r w:rsidR="0014046B">
          <w:rPr>
            <w:noProof/>
            <w:webHidden/>
          </w:rPr>
          <w:instrText xml:space="preserve"> PAGEREF _Toc1718645 \h </w:instrText>
        </w:r>
        <w:r w:rsidR="0014046B">
          <w:rPr>
            <w:noProof/>
            <w:webHidden/>
          </w:rPr>
        </w:r>
        <w:r w:rsidR="0014046B">
          <w:rPr>
            <w:noProof/>
            <w:webHidden/>
          </w:rPr>
          <w:fldChar w:fldCharType="separate"/>
        </w:r>
        <w:r w:rsidR="0014046B">
          <w:rPr>
            <w:noProof/>
            <w:webHidden/>
          </w:rPr>
          <w:t>1</w:t>
        </w:r>
        <w:r w:rsidR="0014046B">
          <w:rPr>
            <w:noProof/>
            <w:webHidden/>
          </w:rPr>
          <w:fldChar w:fldCharType="end"/>
        </w:r>
      </w:hyperlink>
    </w:p>
    <w:p w:rsidR="0014046B" w:rsidRDefault="00196A17">
      <w:pPr>
        <w:pStyle w:val="TOC1"/>
        <w:tabs>
          <w:tab w:val="left" w:pos="480"/>
          <w:tab w:val="right" w:leader="dot" w:pos="9360"/>
        </w:tabs>
        <w:rPr>
          <w:rFonts w:asciiTheme="minorHAnsi" w:eastAsiaTheme="minorEastAsia" w:hAnsiTheme="minorHAnsi" w:cstheme="minorBidi"/>
          <w:noProof/>
          <w:szCs w:val="22"/>
          <w:lang w:val="en-CA" w:eastAsia="en-CA"/>
        </w:rPr>
      </w:pPr>
      <w:hyperlink w:anchor="_Toc1718646" w:history="1">
        <w:r w:rsidR="0014046B" w:rsidRPr="00BB25CD">
          <w:rPr>
            <w:rStyle w:val="Hyperlink"/>
            <w:noProof/>
          </w:rPr>
          <w:t>3</w:t>
        </w:r>
        <w:r w:rsidR="0014046B">
          <w:rPr>
            <w:rFonts w:asciiTheme="minorHAnsi" w:eastAsiaTheme="minorEastAsia" w:hAnsiTheme="minorHAnsi" w:cstheme="minorBidi"/>
            <w:noProof/>
            <w:szCs w:val="22"/>
            <w:lang w:val="en-CA" w:eastAsia="en-CA"/>
          </w:rPr>
          <w:tab/>
        </w:r>
        <w:r w:rsidR="0014046B" w:rsidRPr="00BB25CD">
          <w:rPr>
            <w:rStyle w:val="Hyperlink"/>
            <w:noProof/>
          </w:rPr>
          <w:t>Description et contexte du programme</w:t>
        </w:r>
        <w:r w:rsidR="0014046B">
          <w:rPr>
            <w:noProof/>
            <w:webHidden/>
          </w:rPr>
          <w:tab/>
        </w:r>
        <w:r w:rsidR="0014046B">
          <w:rPr>
            <w:noProof/>
            <w:webHidden/>
          </w:rPr>
          <w:fldChar w:fldCharType="begin"/>
        </w:r>
        <w:r w:rsidR="0014046B">
          <w:rPr>
            <w:noProof/>
            <w:webHidden/>
          </w:rPr>
          <w:instrText xml:space="preserve"> PAGEREF _Toc1718646 \h </w:instrText>
        </w:r>
        <w:r w:rsidR="0014046B">
          <w:rPr>
            <w:noProof/>
            <w:webHidden/>
          </w:rPr>
        </w:r>
        <w:r w:rsidR="0014046B">
          <w:rPr>
            <w:noProof/>
            <w:webHidden/>
          </w:rPr>
          <w:fldChar w:fldCharType="separate"/>
        </w:r>
        <w:r w:rsidR="0014046B">
          <w:rPr>
            <w:noProof/>
            <w:webHidden/>
          </w:rPr>
          <w:t>2</w:t>
        </w:r>
        <w:r w:rsidR="0014046B">
          <w:rPr>
            <w:noProof/>
            <w:webHidden/>
          </w:rPr>
          <w:fldChar w:fldCharType="end"/>
        </w:r>
      </w:hyperlink>
    </w:p>
    <w:p w:rsidR="0014046B" w:rsidRDefault="00196A17">
      <w:pPr>
        <w:pStyle w:val="TOC1"/>
        <w:tabs>
          <w:tab w:val="left" w:pos="480"/>
          <w:tab w:val="right" w:leader="dot" w:pos="9360"/>
        </w:tabs>
        <w:rPr>
          <w:rFonts w:asciiTheme="minorHAnsi" w:eastAsiaTheme="minorEastAsia" w:hAnsiTheme="minorHAnsi" w:cstheme="minorBidi"/>
          <w:noProof/>
          <w:szCs w:val="22"/>
          <w:lang w:val="en-CA" w:eastAsia="en-CA"/>
        </w:rPr>
      </w:pPr>
      <w:hyperlink w:anchor="_Toc1718647" w:history="1">
        <w:r w:rsidR="0014046B" w:rsidRPr="00BB25CD">
          <w:rPr>
            <w:rStyle w:val="Hyperlink"/>
            <w:noProof/>
          </w:rPr>
          <w:t>4</w:t>
        </w:r>
        <w:r w:rsidR="0014046B">
          <w:rPr>
            <w:rFonts w:asciiTheme="minorHAnsi" w:eastAsiaTheme="minorEastAsia" w:hAnsiTheme="minorHAnsi" w:cstheme="minorBidi"/>
            <w:noProof/>
            <w:szCs w:val="22"/>
            <w:lang w:val="en-CA" w:eastAsia="en-CA"/>
          </w:rPr>
          <w:tab/>
        </w:r>
        <w:r w:rsidR="0014046B" w:rsidRPr="00BB25CD">
          <w:rPr>
            <w:rStyle w:val="Hyperlink"/>
            <w:noProof/>
          </w:rPr>
          <w:t>Objectif du programme</w:t>
        </w:r>
        <w:r w:rsidR="0014046B">
          <w:rPr>
            <w:noProof/>
            <w:webHidden/>
          </w:rPr>
          <w:tab/>
        </w:r>
        <w:r w:rsidR="0014046B">
          <w:rPr>
            <w:noProof/>
            <w:webHidden/>
          </w:rPr>
          <w:fldChar w:fldCharType="begin"/>
        </w:r>
        <w:r w:rsidR="0014046B">
          <w:rPr>
            <w:noProof/>
            <w:webHidden/>
          </w:rPr>
          <w:instrText xml:space="preserve"> PAGEREF _Toc1718647 \h </w:instrText>
        </w:r>
        <w:r w:rsidR="0014046B">
          <w:rPr>
            <w:noProof/>
            <w:webHidden/>
          </w:rPr>
        </w:r>
        <w:r w:rsidR="0014046B">
          <w:rPr>
            <w:noProof/>
            <w:webHidden/>
          </w:rPr>
          <w:fldChar w:fldCharType="separate"/>
        </w:r>
        <w:r w:rsidR="0014046B">
          <w:rPr>
            <w:noProof/>
            <w:webHidden/>
          </w:rPr>
          <w:t>3</w:t>
        </w:r>
        <w:r w:rsidR="0014046B">
          <w:rPr>
            <w:noProof/>
            <w:webHidden/>
          </w:rPr>
          <w:fldChar w:fldCharType="end"/>
        </w:r>
      </w:hyperlink>
    </w:p>
    <w:p w:rsidR="0014046B" w:rsidRDefault="00196A17">
      <w:pPr>
        <w:pStyle w:val="TOC1"/>
        <w:tabs>
          <w:tab w:val="left" w:pos="480"/>
          <w:tab w:val="right" w:leader="dot" w:pos="9360"/>
        </w:tabs>
        <w:rPr>
          <w:rFonts w:asciiTheme="minorHAnsi" w:eastAsiaTheme="minorEastAsia" w:hAnsiTheme="minorHAnsi" w:cstheme="minorBidi"/>
          <w:noProof/>
          <w:szCs w:val="22"/>
          <w:lang w:val="en-CA" w:eastAsia="en-CA"/>
        </w:rPr>
      </w:pPr>
      <w:hyperlink w:anchor="_Toc1718648" w:history="1">
        <w:r w:rsidR="0014046B" w:rsidRPr="00BB25CD">
          <w:rPr>
            <w:rStyle w:val="Hyperlink"/>
            <w:noProof/>
          </w:rPr>
          <w:t>5</w:t>
        </w:r>
        <w:r w:rsidR="0014046B">
          <w:rPr>
            <w:rFonts w:asciiTheme="minorHAnsi" w:eastAsiaTheme="minorEastAsia" w:hAnsiTheme="minorHAnsi" w:cstheme="minorBidi"/>
            <w:noProof/>
            <w:szCs w:val="22"/>
            <w:lang w:val="en-CA" w:eastAsia="en-CA"/>
          </w:rPr>
          <w:tab/>
        </w:r>
        <w:r w:rsidR="0014046B" w:rsidRPr="00BB25CD">
          <w:rPr>
            <w:rStyle w:val="Hyperlink"/>
            <w:noProof/>
          </w:rPr>
          <w:t>Résultats escomptés</w:t>
        </w:r>
        <w:r w:rsidR="0014046B">
          <w:rPr>
            <w:noProof/>
            <w:webHidden/>
          </w:rPr>
          <w:tab/>
        </w:r>
        <w:r w:rsidR="0014046B">
          <w:rPr>
            <w:noProof/>
            <w:webHidden/>
          </w:rPr>
          <w:fldChar w:fldCharType="begin"/>
        </w:r>
        <w:r w:rsidR="0014046B">
          <w:rPr>
            <w:noProof/>
            <w:webHidden/>
          </w:rPr>
          <w:instrText xml:space="preserve"> PAGEREF _Toc1718648 \h </w:instrText>
        </w:r>
        <w:r w:rsidR="0014046B">
          <w:rPr>
            <w:noProof/>
            <w:webHidden/>
          </w:rPr>
        </w:r>
        <w:r w:rsidR="0014046B">
          <w:rPr>
            <w:noProof/>
            <w:webHidden/>
          </w:rPr>
          <w:fldChar w:fldCharType="separate"/>
        </w:r>
        <w:r w:rsidR="0014046B">
          <w:rPr>
            <w:noProof/>
            <w:webHidden/>
          </w:rPr>
          <w:t>3</w:t>
        </w:r>
        <w:r w:rsidR="0014046B">
          <w:rPr>
            <w:noProof/>
            <w:webHidden/>
          </w:rPr>
          <w:fldChar w:fldCharType="end"/>
        </w:r>
      </w:hyperlink>
    </w:p>
    <w:p w:rsidR="0014046B" w:rsidRDefault="00196A17">
      <w:pPr>
        <w:pStyle w:val="TOC1"/>
        <w:tabs>
          <w:tab w:val="left" w:pos="480"/>
          <w:tab w:val="right" w:leader="dot" w:pos="9360"/>
        </w:tabs>
        <w:rPr>
          <w:rFonts w:asciiTheme="minorHAnsi" w:eastAsiaTheme="minorEastAsia" w:hAnsiTheme="minorHAnsi" w:cstheme="minorBidi"/>
          <w:noProof/>
          <w:szCs w:val="22"/>
          <w:lang w:val="en-CA" w:eastAsia="en-CA"/>
        </w:rPr>
      </w:pPr>
      <w:hyperlink w:anchor="_Toc1718649" w:history="1">
        <w:r w:rsidR="0014046B" w:rsidRPr="00BB25CD">
          <w:rPr>
            <w:rStyle w:val="Hyperlink"/>
            <w:noProof/>
          </w:rPr>
          <w:t>6</w:t>
        </w:r>
        <w:r w:rsidR="0014046B">
          <w:rPr>
            <w:rFonts w:asciiTheme="minorHAnsi" w:eastAsiaTheme="minorEastAsia" w:hAnsiTheme="minorHAnsi" w:cstheme="minorBidi"/>
            <w:noProof/>
            <w:szCs w:val="22"/>
            <w:lang w:val="en-CA" w:eastAsia="en-CA"/>
          </w:rPr>
          <w:tab/>
        </w:r>
        <w:r w:rsidR="0014046B" w:rsidRPr="00BB25CD">
          <w:rPr>
            <w:rStyle w:val="Hyperlink"/>
            <w:noProof/>
          </w:rPr>
          <w:t>Processus de présentation de demandes</w:t>
        </w:r>
        <w:r w:rsidR="0014046B">
          <w:rPr>
            <w:noProof/>
            <w:webHidden/>
          </w:rPr>
          <w:tab/>
        </w:r>
        <w:r w:rsidR="0014046B">
          <w:rPr>
            <w:noProof/>
            <w:webHidden/>
          </w:rPr>
          <w:fldChar w:fldCharType="begin"/>
        </w:r>
        <w:r w:rsidR="0014046B">
          <w:rPr>
            <w:noProof/>
            <w:webHidden/>
          </w:rPr>
          <w:instrText xml:space="preserve"> PAGEREF _Toc1718649 \h </w:instrText>
        </w:r>
        <w:r w:rsidR="0014046B">
          <w:rPr>
            <w:noProof/>
            <w:webHidden/>
          </w:rPr>
        </w:r>
        <w:r w:rsidR="0014046B">
          <w:rPr>
            <w:noProof/>
            <w:webHidden/>
          </w:rPr>
          <w:fldChar w:fldCharType="separate"/>
        </w:r>
        <w:r w:rsidR="0014046B">
          <w:rPr>
            <w:noProof/>
            <w:webHidden/>
          </w:rPr>
          <w:t>3</w:t>
        </w:r>
        <w:r w:rsidR="0014046B">
          <w:rPr>
            <w:noProof/>
            <w:webHidden/>
          </w:rPr>
          <w:fldChar w:fldCharType="end"/>
        </w:r>
      </w:hyperlink>
    </w:p>
    <w:p w:rsidR="0014046B" w:rsidRDefault="00196A17">
      <w:pPr>
        <w:pStyle w:val="TOC2"/>
        <w:tabs>
          <w:tab w:val="left" w:pos="880"/>
          <w:tab w:val="right" w:leader="dot" w:pos="9360"/>
        </w:tabs>
        <w:rPr>
          <w:rFonts w:asciiTheme="minorHAnsi" w:eastAsiaTheme="minorEastAsia" w:hAnsiTheme="minorHAnsi" w:cstheme="minorBidi"/>
          <w:noProof/>
          <w:szCs w:val="22"/>
          <w:lang w:val="en-CA" w:eastAsia="en-CA"/>
        </w:rPr>
      </w:pPr>
      <w:hyperlink w:anchor="_Toc1718650" w:history="1">
        <w:r w:rsidR="0014046B" w:rsidRPr="00BB25CD">
          <w:rPr>
            <w:rStyle w:val="Hyperlink"/>
            <w:noProof/>
          </w:rPr>
          <w:t>6.1</w:t>
        </w:r>
        <w:r w:rsidR="0014046B">
          <w:rPr>
            <w:rFonts w:asciiTheme="minorHAnsi" w:eastAsiaTheme="minorEastAsia" w:hAnsiTheme="minorHAnsi" w:cstheme="minorBidi"/>
            <w:noProof/>
            <w:szCs w:val="22"/>
            <w:lang w:val="en-CA" w:eastAsia="en-CA"/>
          </w:rPr>
          <w:tab/>
        </w:r>
        <w:r w:rsidR="0014046B" w:rsidRPr="00BB25CD">
          <w:rPr>
            <w:rStyle w:val="Hyperlink"/>
            <w:noProof/>
          </w:rPr>
          <w:t>Processus d’évaluation</w:t>
        </w:r>
        <w:r w:rsidR="0014046B">
          <w:rPr>
            <w:noProof/>
            <w:webHidden/>
          </w:rPr>
          <w:tab/>
        </w:r>
        <w:r w:rsidR="0014046B">
          <w:rPr>
            <w:noProof/>
            <w:webHidden/>
          </w:rPr>
          <w:fldChar w:fldCharType="begin"/>
        </w:r>
        <w:r w:rsidR="0014046B">
          <w:rPr>
            <w:noProof/>
            <w:webHidden/>
          </w:rPr>
          <w:instrText xml:space="preserve"> PAGEREF _Toc1718650 \h </w:instrText>
        </w:r>
        <w:r w:rsidR="0014046B">
          <w:rPr>
            <w:noProof/>
            <w:webHidden/>
          </w:rPr>
        </w:r>
        <w:r w:rsidR="0014046B">
          <w:rPr>
            <w:noProof/>
            <w:webHidden/>
          </w:rPr>
          <w:fldChar w:fldCharType="separate"/>
        </w:r>
        <w:r w:rsidR="0014046B">
          <w:rPr>
            <w:noProof/>
            <w:webHidden/>
          </w:rPr>
          <w:t>3</w:t>
        </w:r>
        <w:r w:rsidR="0014046B">
          <w:rPr>
            <w:noProof/>
            <w:webHidden/>
          </w:rPr>
          <w:fldChar w:fldCharType="end"/>
        </w:r>
      </w:hyperlink>
    </w:p>
    <w:p w:rsidR="0014046B" w:rsidRDefault="00196A17">
      <w:pPr>
        <w:pStyle w:val="TOC2"/>
        <w:tabs>
          <w:tab w:val="left" w:pos="880"/>
          <w:tab w:val="right" w:leader="dot" w:pos="9360"/>
        </w:tabs>
        <w:rPr>
          <w:rFonts w:asciiTheme="minorHAnsi" w:eastAsiaTheme="minorEastAsia" w:hAnsiTheme="minorHAnsi" w:cstheme="minorBidi"/>
          <w:noProof/>
          <w:szCs w:val="22"/>
          <w:lang w:val="en-CA" w:eastAsia="en-CA"/>
        </w:rPr>
      </w:pPr>
      <w:hyperlink w:anchor="_Toc1718651" w:history="1">
        <w:r w:rsidR="0014046B" w:rsidRPr="00BB25CD">
          <w:rPr>
            <w:rStyle w:val="Hyperlink"/>
            <w:noProof/>
          </w:rPr>
          <w:t>6.2</w:t>
        </w:r>
        <w:r w:rsidR="0014046B">
          <w:rPr>
            <w:rFonts w:asciiTheme="minorHAnsi" w:eastAsiaTheme="minorEastAsia" w:hAnsiTheme="minorHAnsi" w:cstheme="minorBidi"/>
            <w:noProof/>
            <w:szCs w:val="22"/>
            <w:lang w:val="en-CA" w:eastAsia="en-CA"/>
          </w:rPr>
          <w:tab/>
        </w:r>
        <w:r w:rsidR="0014046B" w:rsidRPr="00BB25CD">
          <w:rPr>
            <w:rStyle w:val="Hyperlink"/>
            <w:noProof/>
          </w:rPr>
          <w:t>Négociation d’un accord de contribution</w:t>
        </w:r>
        <w:r w:rsidR="0014046B">
          <w:rPr>
            <w:noProof/>
            <w:webHidden/>
          </w:rPr>
          <w:tab/>
        </w:r>
        <w:r w:rsidR="0014046B">
          <w:rPr>
            <w:noProof/>
            <w:webHidden/>
          </w:rPr>
          <w:fldChar w:fldCharType="begin"/>
        </w:r>
        <w:r w:rsidR="0014046B">
          <w:rPr>
            <w:noProof/>
            <w:webHidden/>
          </w:rPr>
          <w:instrText xml:space="preserve"> PAGEREF _Toc1718651 \h </w:instrText>
        </w:r>
        <w:r w:rsidR="0014046B">
          <w:rPr>
            <w:noProof/>
            <w:webHidden/>
          </w:rPr>
        </w:r>
        <w:r w:rsidR="0014046B">
          <w:rPr>
            <w:noProof/>
            <w:webHidden/>
          </w:rPr>
          <w:fldChar w:fldCharType="separate"/>
        </w:r>
        <w:r w:rsidR="0014046B">
          <w:rPr>
            <w:noProof/>
            <w:webHidden/>
          </w:rPr>
          <w:t>4</w:t>
        </w:r>
        <w:r w:rsidR="0014046B">
          <w:rPr>
            <w:noProof/>
            <w:webHidden/>
          </w:rPr>
          <w:fldChar w:fldCharType="end"/>
        </w:r>
      </w:hyperlink>
    </w:p>
    <w:p w:rsidR="0014046B" w:rsidRDefault="00196A17">
      <w:pPr>
        <w:pStyle w:val="TOC2"/>
        <w:tabs>
          <w:tab w:val="left" w:pos="880"/>
          <w:tab w:val="right" w:leader="dot" w:pos="9360"/>
        </w:tabs>
        <w:rPr>
          <w:rFonts w:asciiTheme="minorHAnsi" w:eastAsiaTheme="minorEastAsia" w:hAnsiTheme="minorHAnsi" w:cstheme="minorBidi"/>
          <w:noProof/>
          <w:szCs w:val="22"/>
          <w:lang w:val="en-CA" w:eastAsia="en-CA"/>
        </w:rPr>
      </w:pPr>
      <w:hyperlink w:anchor="_Toc1718652" w:history="1">
        <w:r w:rsidR="0014046B" w:rsidRPr="00BB25CD">
          <w:rPr>
            <w:rStyle w:val="Hyperlink"/>
            <w:noProof/>
          </w:rPr>
          <w:t>6.3</w:t>
        </w:r>
        <w:r w:rsidR="0014046B">
          <w:rPr>
            <w:rFonts w:asciiTheme="minorHAnsi" w:eastAsiaTheme="minorEastAsia" w:hAnsiTheme="minorHAnsi" w:cstheme="minorBidi"/>
            <w:noProof/>
            <w:szCs w:val="22"/>
            <w:lang w:val="en-CA" w:eastAsia="en-CA"/>
          </w:rPr>
          <w:tab/>
        </w:r>
        <w:r w:rsidR="0014046B" w:rsidRPr="00BB25CD">
          <w:rPr>
            <w:rStyle w:val="Hyperlink"/>
            <w:noProof/>
          </w:rPr>
          <w:t>Normes de service</w:t>
        </w:r>
        <w:r w:rsidR="0014046B">
          <w:rPr>
            <w:noProof/>
            <w:webHidden/>
          </w:rPr>
          <w:tab/>
        </w:r>
        <w:r w:rsidR="0014046B">
          <w:rPr>
            <w:noProof/>
            <w:webHidden/>
          </w:rPr>
          <w:fldChar w:fldCharType="begin"/>
        </w:r>
        <w:r w:rsidR="0014046B">
          <w:rPr>
            <w:noProof/>
            <w:webHidden/>
          </w:rPr>
          <w:instrText xml:space="preserve"> PAGEREF _Toc1718652 \h </w:instrText>
        </w:r>
        <w:r w:rsidR="0014046B">
          <w:rPr>
            <w:noProof/>
            <w:webHidden/>
          </w:rPr>
        </w:r>
        <w:r w:rsidR="0014046B">
          <w:rPr>
            <w:noProof/>
            <w:webHidden/>
          </w:rPr>
          <w:fldChar w:fldCharType="separate"/>
        </w:r>
        <w:r w:rsidR="0014046B">
          <w:rPr>
            <w:noProof/>
            <w:webHidden/>
          </w:rPr>
          <w:t>4</w:t>
        </w:r>
        <w:r w:rsidR="0014046B">
          <w:rPr>
            <w:noProof/>
            <w:webHidden/>
          </w:rPr>
          <w:fldChar w:fldCharType="end"/>
        </w:r>
      </w:hyperlink>
    </w:p>
    <w:p w:rsidR="0014046B" w:rsidRDefault="00196A17">
      <w:pPr>
        <w:pStyle w:val="TOC2"/>
        <w:tabs>
          <w:tab w:val="left" w:pos="880"/>
          <w:tab w:val="right" w:leader="dot" w:pos="9360"/>
        </w:tabs>
        <w:rPr>
          <w:rFonts w:asciiTheme="minorHAnsi" w:eastAsiaTheme="minorEastAsia" w:hAnsiTheme="minorHAnsi" w:cstheme="minorBidi"/>
          <w:noProof/>
          <w:szCs w:val="22"/>
          <w:lang w:val="en-CA" w:eastAsia="en-CA"/>
        </w:rPr>
      </w:pPr>
      <w:hyperlink w:anchor="_Toc1718653" w:history="1">
        <w:r w:rsidR="0014046B" w:rsidRPr="00BB25CD">
          <w:rPr>
            <w:rStyle w:val="Hyperlink"/>
            <w:noProof/>
          </w:rPr>
          <w:t>6.4</w:t>
        </w:r>
        <w:r w:rsidR="0014046B">
          <w:rPr>
            <w:rFonts w:asciiTheme="minorHAnsi" w:eastAsiaTheme="minorEastAsia" w:hAnsiTheme="minorHAnsi" w:cstheme="minorBidi"/>
            <w:noProof/>
            <w:szCs w:val="22"/>
            <w:lang w:val="en-CA" w:eastAsia="en-CA"/>
          </w:rPr>
          <w:tab/>
        </w:r>
        <w:r w:rsidR="0014046B" w:rsidRPr="00BB25CD">
          <w:rPr>
            <w:rStyle w:val="Hyperlink"/>
            <w:noProof/>
          </w:rPr>
          <w:t>Demandes concernant le programme</w:t>
        </w:r>
        <w:r w:rsidR="0014046B">
          <w:rPr>
            <w:noProof/>
            <w:webHidden/>
          </w:rPr>
          <w:tab/>
        </w:r>
        <w:r w:rsidR="0014046B">
          <w:rPr>
            <w:noProof/>
            <w:webHidden/>
          </w:rPr>
          <w:fldChar w:fldCharType="begin"/>
        </w:r>
        <w:r w:rsidR="0014046B">
          <w:rPr>
            <w:noProof/>
            <w:webHidden/>
          </w:rPr>
          <w:instrText xml:space="preserve"> PAGEREF _Toc1718653 \h </w:instrText>
        </w:r>
        <w:r w:rsidR="0014046B">
          <w:rPr>
            <w:noProof/>
            <w:webHidden/>
          </w:rPr>
        </w:r>
        <w:r w:rsidR="0014046B">
          <w:rPr>
            <w:noProof/>
            <w:webHidden/>
          </w:rPr>
          <w:fldChar w:fldCharType="separate"/>
        </w:r>
        <w:r w:rsidR="0014046B">
          <w:rPr>
            <w:noProof/>
            <w:webHidden/>
          </w:rPr>
          <w:t>4</w:t>
        </w:r>
        <w:r w:rsidR="0014046B">
          <w:rPr>
            <w:noProof/>
            <w:webHidden/>
          </w:rPr>
          <w:fldChar w:fldCharType="end"/>
        </w:r>
      </w:hyperlink>
    </w:p>
    <w:p w:rsidR="0014046B" w:rsidRDefault="00196A17">
      <w:pPr>
        <w:pStyle w:val="TOC2"/>
        <w:tabs>
          <w:tab w:val="left" w:pos="880"/>
          <w:tab w:val="right" w:leader="dot" w:pos="9360"/>
        </w:tabs>
        <w:rPr>
          <w:rFonts w:asciiTheme="minorHAnsi" w:eastAsiaTheme="minorEastAsia" w:hAnsiTheme="minorHAnsi" w:cstheme="minorBidi"/>
          <w:noProof/>
          <w:szCs w:val="22"/>
          <w:lang w:val="en-CA" w:eastAsia="en-CA"/>
        </w:rPr>
      </w:pPr>
      <w:hyperlink w:anchor="_Toc1718654" w:history="1">
        <w:r w:rsidR="0014046B" w:rsidRPr="00BB25CD">
          <w:rPr>
            <w:rStyle w:val="Hyperlink"/>
            <w:noProof/>
          </w:rPr>
          <w:t>6.5</w:t>
        </w:r>
        <w:r w:rsidR="0014046B">
          <w:rPr>
            <w:rFonts w:asciiTheme="minorHAnsi" w:eastAsiaTheme="minorEastAsia" w:hAnsiTheme="minorHAnsi" w:cstheme="minorBidi"/>
            <w:noProof/>
            <w:szCs w:val="22"/>
            <w:lang w:val="en-CA" w:eastAsia="en-CA"/>
          </w:rPr>
          <w:tab/>
        </w:r>
        <w:r w:rsidR="0014046B" w:rsidRPr="00BB25CD">
          <w:rPr>
            <w:rStyle w:val="Hyperlink"/>
            <w:noProof/>
          </w:rPr>
          <w:t>Autres programmes de financement</w:t>
        </w:r>
        <w:r w:rsidR="0014046B">
          <w:rPr>
            <w:noProof/>
            <w:webHidden/>
          </w:rPr>
          <w:tab/>
        </w:r>
        <w:r w:rsidR="0014046B">
          <w:rPr>
            <w:noProof/>
            <w:webHidden/>
          </w:rPr>
          <w:fldChar w:fldCharType="begin"/>
        </w:r>
        <w:r w:rsidR="0014046B">
          <w:rPr>
            <w:noProof/>
            <w:webHidden/>
          </w:rPr>
          <w:instrText xml:space="preserve"> PAGEREF _Toc1718654 \h </w:instrText>
        </w:r>
        <w:r w:rsidR="0014046B">
          <w:rPr>
            <w:noProof/>
            <w:webHidden/>
          </w:rPr>
        </w:r>
        <w:r w:rsidR="0014046B">
          <w:rPr>
            <w:noProof/>
            <w:webHidden/>
          </w:rPr>
          <w:fldChar w:fldCharType="separate"/>
        </w:r>
        <w:r w:rsidR="0014046B">
          <w:rPr>
            <w:noProof/>
            <w:webHidden/>
          </w:rPr>
          <w:t>5</w:t>
        </w:r>
        <w:r w:rsidR="0014046B">
          <w:rPr>
            <w:noProof/>
            <w:webHidden/>
          </w:rPr>
          <w:fldChar w:fldCharType="end"/>
        </w:r>
      </w:hyperlink>
    </w:p>
    <w:p w:rsidR="0014046B" w:rsidRDefault="00196A17">
      <w:pPr>
        <w:pStyle w:val="TOC1"/>
        <w:tabs>
          <w:tab w:val="left" w:pos="480"/>
          <w:tab w:val="right" w:leader="dot" w:pos="9360"/>
        </w:tabs>
        <w:rPr>
          <w:rFonts w:asciiTheme="minorHAnsi" w:eastAsiaTheme="minorEastAsia" w:hAnsiTheme="minorHAnsi" w:cstheme="minorBidi"/>
          <w:noProof/>
          <w:szCs w:val="22"/>
          <w:lang w:val="en-CA" w:eastAsia="en-CA"/>
        </w:rPr>
      </w:pPr>
      <w:hyperlink w:anchor="_Toc1718655" w:history="1">
        <w:r w:rsidR="0014046B" w:rsidRPr="00BB25CD">
          <w:rPr>
            <w:rStyle w:val="Hyperlink"/>
            <w:noProof/>
          </w:rPr>
          <w:t>7</w:t>
        </w:r>
        <w:r w:rsidR="0014046B">
          <w:rPr>
            <w:rFonts w:asciiTheme="minorHAnsi" w:eastAsiaTheme="minorEastAsia" w:hAnsiTheme="minorHAnsi" w:cstheme="minorBidi"/>
            <w:noProof/>
            <w:szCs w:val="22"/>
            <w:lang w:val="en-CA" w:eastAsia="en-CA"/>
          </w:rPr>
          <w:tab/>
        </w:r>
        <w:r w:rsidR="0014046B" w:rsidRPr="00BB25CD">
          <w:rPr>
            <w:rStyle w:val="Hyperlink"/>
            <w:noProof/>
          </w:rPr>
          <w:t>Bénéficiaires admissibles</w:t>
        </w:r>
        <w:r w:rsidR="0014046B">
          <w:rPr>
            <w:noProof/>
            <w:webHidden/>
          </w:rPr>
          <w:tab/>
        </w:r>
        <w:r w:rsidR="0014046B">
          <w:rPr>
            <w:noProof/>
            <w:webHidden/>
          </w:rPr>
          <w:fldChar w:fldCharType="begin"/>
        </w:r>
        <w:r w:rsidR="0014046B">
          <w:rPr>
            <w:noProof/>
            <w:webHidden/>
          </w:rPr>
          <w:instrText xml:space="preserve"> PAGEREF _Toc1718655 \h </w:instrText>
        </w:r>
        <w:r w:rsidR="0014046B">
          <w:rPr>
            <w:noProof/>
            <w:webHidden/>
          </w:rPr>
        </w:r>
        <w:r w:rsidR="0014046B">
          <w:rPr>
            <w:noProof/>
            <w:webHidden/>
          </w:rPr>
          <w:fldChar w:fldCharType="separate"/>
        </w:r>
        <w:r w:rsidR="0014046B">
          <w:rPr>
            <w:noProof/>
            <w:webHidden/>
          </w:rPr>
          <w:t>5</w:t>
        </w:r>
        <w:r w:rsidR="0014046B">
          <w:rPr>
            <w:noProof/>
            <w:webHidden/>
          </w:rPr>
          <w:fldChar w:fldCharType="end"/>
        </w:r>
      </w:hyperlink>
    </w:p>
    <w:p w:rsidR="0014046B" w:rsidRDefault="00196A17">
      <w:pPr>
        <w:pStyle w:val="TOC1"/>
        <w:tabs>
          <w:tab w:val="left" w:pos="480"/>
          <w:tab w:val="right" w:leader="dot" w:pos="9360"/>
        </w:tabs>
        <w:rPr>
          <w:rFonts w:asciiTheme="minorHAnsi" w:eastAsiaTheme="minorEastAsia" w:hAnsiTheme="minorHAnsi" w:cstheme="minorBidi"/>
          <w:noProof/>
          <w:szCs w:val="22"/>
          <w:lang w:val="en-CA" w:eastAsia="en-CA"/>
        </w:rPr>
      </w:pPr>
      <w:hyperlink w:anchor="_Toc1718656" w:history="1">
        <w:r w:rsidR="0014046B" w:rsidRPr="00BB25CD">
          <w:rPr>
            <w:rStyle w:val="Hyperlink"/>
            <w:noProof/>
          </w:rPr>
          <w:t>8</w:t>
        </w:r>
        <w:r w:rsidR="0014046B">
          <w:rPr>
            <w:rFonts w:asciiTheme="minorHAnsi" w:eastAsiaTheme="minorEastAsia" w:hAnsiTheme="minorHAnsi" w:cstheme="minorBidi"/>
            <w:noProof/>
            <w:szCs w:val="22"/>
            <w:lang w:val="en-CA" w:eastAsia="en-CA"/>
          </w:rPr>
          <w:tab/>
        </w:r>
        <w:r w:rsidR="0014046B" w:rsidRPr="00BB25CD">
          <w:rPr>
            <w:rStyle w:val="Hyperlink"/>
            <w:noProof/>
          </w:rPr>
          <w:t>Activités admissibles</w:t>
        </w:r>
        <w:r w:rsidR="0014046B">
          <w:rPr>
            <w:noProof/>
            <w:webHidden/>
          </w:rPr>
          <w:tab/>
        </w:r>
        <w:r w:rsidR="0014046B">
          <w:rPr>
            <w:noProof/>
            <w:webHidden/>
          </w:rPr>
          <w:fldChar w:fldCharType="begin"/>
        </w:r>
        <w:r w:rsidR="0014046B">
          <w:rPr>
            <w:noProof/>
            <w:webHidden/>
          </w:rPr>
          <w:instrText xml:space="preserve"> PAGEREF _Toc1718656 \h </w:instrText>
        </w:r>
        <w:r w:rsidR="0014046B">
          <w:rPr>
            <w:noProof/>
            <w:webHidden/>
          </w:rPr>
        </w:r>
        <w:r w:rsidR="0014046B">
          <w:rPr>
            <w:noProof/>
            <w:webHidden/>
          </w:rPr>
          <w:fldChar w:fldCharType="separate"/>
        </w:r>
        <w:r w:rsidR="0014046B">
          <w:rPr>
            <w:noProof/>
            <w:webHidden/>
          </w:rPr>
          <w:t>5</w:t>
        </w:r>
        <w:r w:rsidR="0014046B">
          <w:rPr>
            <w:noProof/>
            <w:webHidden/>
          </w:rPr>
          <w:fldChar w:fldCharType="end"/>
        </w:r>
      </w:hyperlink>
    </w:p>
    <w:p w:rsidR="0014046B" w:rsidRDefault="00196A17">
      <w:pPr>
        <w:pStyle w:val="TOC1"/>
        <w:tabs>
          <w:tab w:val="left" w:pos="480"/>
          <w:tab w:val="right" w:leader="dot" w:pos="9360"/>
        </w:tabs>
        <w:rPr>
          <w:rFonts w:asciiTheme="minorHAnsi" w:eastAsiaTheme="minorEastAsia" w:hAnsiTheme="minorHAnsi" w:cstheme="minorBidi"/>
          <w:noProof/>
          <w:szCs w:val="22"/>
          <w:lang w:val="en-CA" w:eastAsia="en-CA"/>
        </w:rPr>
      </w:pPr>
      <w:hyperlink w:anchor="_Toc1718657" w:history="1">
        <w:r w:rsidR="0014046B" w:rsidRPr="00BB25CD">
          <w:rPr>
            <w:rStyle w:val="Hyperlink"/>
            <w:noProof/>
          </w:rPr>
          <w:t>9</w:t>
        </w:r>
        <w:r w:rsidR="0014046B">
          <w:rPr>
            <w:rFonts w:asciiTheme="minorHAnsi" w:eastAsiaTheme="minorEastAsia" w:hAnsiTheme="minorHAnsi" w:cstheme="minorBidi"/>
            <w:noProof/>
            <w:szCs w:val="22"/>
            <w:lang w:val="en-CA" w:eastAsia="en-CA"/>
          </w:rPr>
          <w:tab/>
        </w:r>
        <w:r w:rsidR="0014046B" w:rsidRPr="00BB25CD">
          <w:rPr>
            <w:rStyle w:val="Hyperlink"/>
            <w:noProof/>
          </w:rPr>
          <w:t>Financement</w:t>
        </w:r>
        <w:r w:rsidR="0014046B">
          <w:rPr>
            <w:noProof/>
            <w:webHidden/>
          </w:rPr>
          <w:tab/>
        </w:r>
        <w:r w:rsidR="0014046B">
          <w:rPr>
            <w:noProof/>
            <w:webHidden/>
          </w:rPr>
          <w:fldChar w:fldCharType="begin"/>
        </w:r>
        <w:r w:rsidR="0014046B">
          <w:rPr>
            <w:noProof/>
            <w:webHidden/>
          </w:rPr>
          <w:instrText xml:space="preserve"> PAGEREF _Toc1718657 \h </w:instrText>
        </w:r>
        <w:r w:rsidR="0014046B">
          <w:rPr>
            <w:noProof/>
            <w:webHidden/>
          </w:rPr>
        </w:r>
        <w:r w:rsidR="0014046B">
          <w:rPr>
            <w:noProof/>
            <w:webHidden/>
          </w:rPr>
          <w:fldChar w:fldCharType="separate"/>
        </w:r>
        <w:r w:rsidR="0014046B">
          <w:rPr>
            <w:noProof/>
            <w:webHidden/>
          </w:rPr>
          <w:t>6</w:t>
        </w:r>
        <w:r w:rsidR="0014046B">
          <w:rPr>
            <w:noProof/>
            <w:webHidden/>
          </w:rPr>
          <w:fldChar w:fldCharType="end"/>
        </w:r>
      </w:hyperlink>
    </w:p>
    <w:p w:rsidR="0014046B" w:rsidRDefault="00196A17">
      <w:pPr>
        <w:pStyle w:val="TOC2"/>
        <w:tabs>
          <w:tab w:val="left" w:pos="880"/>
          <w:tab w:val="right" w:leader="dot" w:pos="9360"/>
        </w:tabs>
        <w:rPr>
          <w:rFonts w:asciiTheme="minorHAnsi" w:eastAsiaTheme="minorEastAsia" w:hAnsiTheme="minorHAnsi" w:cstheme="minorBidi"/>
          <w:noProof/>
          <w:szCs w:val="22"/>
          <w:lang w:val="en-CA" w:eastAsia="en-CA"/>
        </w:rPr>
      </w:pPr>
      <w:hyperlink w:anchor="_Toc1718658" w:history="1">
        <w:r w:rsidR="0014046B" w:rsidRPr="00BB25CD">
          <w:rPr>
            <w:rStyle w:val="Hyperlink"/>
            <w:noProof/>
          </w:rPr>
          <w:t>9.1</w:t>
        </w:r>
        <w:r w:rsidR="0014046B">
          <w:rPr>
            <w:rFonts w:asciiTheme="minorHAnsi" w:eastAsiaTheme="minorEastAsia" w:hAnsiTheme="minorHAnsi" w:cstheme="minorBidi"/>
            <w:noProof/>
            <w:szCs w:val="22"/>
            <w:lang w:val="en-CA" w:eastAsia="en-CA"/>
          </w:rPr>
          <w:tab/>
        </w:r>
        <w:r w:rsidR="0014046B" w:rsidRPr="00BB25CD">
          <w:rPr>
            <w:rStyle w:val="Hyperlink"/>
            <w:noProof/>
          </w:rPr>
          <w:t>Calendrier du financement</w:t>
        </w:r>
        <w:r w:rsidR="0014046B">
          <w:rPr>
            <w:noProof/>
            <w:webHidden/>
          </w:rPr>
          <w:tab/>
        </w:r>
        <w:r w:rsidR="0014046B">
          <w:rPr>
            <w:noProof/>
            <w:webHidden/>
          </w:rPr>
          <w:fldChar w:fldCharType="begin"/>
        </w:r>
        <w:r w:rsidR="0014046B">
          <w:rPr>
            <w:noProof/>
            <w:webHidden/>
          </w:rPr>
          <w:instrText xml:space="preserve"> PAGEREF _Toc1718658 \h </w:instrText>
        </w:r>
        <w:r w:rsidR="0014046B">
          <w:rPr>
            <w:noProof/>
            <w:webHidden/>
          </w:rPr>
        </w:r>
        <w:r w:rsidR="0014046B">
          <w:rPr>
            <w:noProof/>
            <w:webHidden/>
          </w:rPr>
          <w:fldChar w:fldCharType="separate"/>
        </w:r>
        <w:r w:rsidR="0014046B">
          <w:rPr>
            <w:noProof/>
            <w:webHidden/>
          </w:rPr>
          <w:t>6</w:t>
        </w:r>
        <w:r w:rsidR="0014046B">
          <w:rPr>
            <w:noProof/>
            <w:webHidden/>
          </w:rPr>
          <w:fldChar w:fldCharType="end"/>
        </w:r>
      </w:hyperlink>
    </w:p>
    <w:p w:rsidR="0014046B" w:rsidRDefault="00196A17">
      <w:pPr>
        <w:pStyle w:val="TOC2"/>
        <w:tabs>
          <w:tab w:val="left" w:pos="880"/>
          <w:tab w:val="right" w:leader="dot" w:pos="9360"/>
        </w:tabs>
        <w:rPr>
          <w:rFonts w:asciiTheme="minorHAnsi" w:eastAsiaTheme="minorEastAsia" w:hAnsiTheme="minorHAnsi" w:cstheme="minorBidi"/>
          <w:noProof/>
          <w:szCs w:val="22"/>
          <w:lang w:val="en-CA" w:eastAsia="en-CA"/>
        </w:rPr>
      </w:pPr>
      <w:hyperlink w:anchor="_Toc1718659" w:history="1">
        <w:r w:rsidR="0014046B" w:rsidRPr="00BB25CD">
          <w:rPr>
            <w:rStyle w:val="Hyperlink"/>
            <w:noProof/>
          </w:rPr>
          <w:t>9.2</w:t>
        </w:r>
        <w:r w:rsidR="0014046B">
          <w:rPr>
            <w:rFonts w:asciiTheme="minorHAnsi" w:eastAsiaTheme="minorEastAsia" w:hAnsiTheme="minorHAnsi" w:cstheme="minorBidi"/>
            <w:noProof/>
            <w:szCs w:val="22"/>
            <w:lang w:val="en-CA" w:eastAsia="en-CA"/>
          </w:rPr>
          <w:tab/>
        </w:r>
        <w:r w:rsidR="0014046B" w:rsidRPr="00BB25CD">
          <w:rPr>
            <w:rStyle w:val="Hyperlink"/>
            <w:noProof/>
          </w:rPr>
          <w:t>Limites du financement</w:t>
        </w:r>
        <w:r w:rsidR="0014046B">
          <w:rPr>
            <w:noProof/>
            <w:webHidden/>
          </w:rPr>
          <w:tab/>
        </w:r>
        <w:r w:rsidR="0014046B">
          <w:rPr>
            <w:noProof/>
            <w:webHidden/>
          </w:rPr>
          <w:fldChar w:fldCharType="begin"/>
        </w:r>
        <w:r w:rsidR="0014046B">
          <w:rPr>
            <w:noProof/>
            <w:webHidden/>
          </w:rPr>
          <w:instrText xml:space="preserve"> PAGEREF _Toc1718659 \h </w:instrText>
        </w:r>
        <w:r w:rsidR="0014046B">
          <w:rPr>
            <w:noProof/>
            <w:webHidden/>
          </w:rPr>
        </w:r>
        <w:r w:rsidR="0014046B">
          <w:rPr>
            <w:noProof/>
            <w:webHidden/>
          </w:rPr>
          <w:fldChar w:fldCharType="separate"/>
        </w:r>
        <w:r w:rsidR="0014046B">
          <w:rPr>
            <w:noProof/>
            <w:webHidden/>
          </w:rPr>
          <w:t>6</w:t>
        </w:r>
        <w:r w:rsidR="0014046B">
          <w:rPr>
            <w:noProof/>
            <w:webHidden/>
          </w:rPr>
          <w:fldChar w:fldCharType="end"/>
        </w:r>
      </w:hyperlink>
    </w:p>
    <w:p w:rsidR="0014046B" w:rsidRDefault="00196A17">
      <w:pPr>
        <w:pStyle w:val="TOC2"/>
        <w:tabs>
          <w:tab w:val="left" w:pos="880"/>
          <w:tab w:val="right" w:leader="dot" w:pos="9360"/>
        </w:tabs>
        <w:rPr>
          <w:rFonts w:asciiTheme="minorHAnsi" w:eastAsiaTheme="minorEastAsia" w:hAnsiTheme="minorHAnsi" w:cstheme="minorBidi"/>
          <w:noProof/>
          <w:szCs w:val="22"/>
          <w:lang w:val="en-CA" w:eastAsia="en-CA"/>
        </w:rPr>
      </w:pPr>
      <w:hyperlink w:anchor="_Toc1718660" w:history="1">
        <w:r w:rsidR="0014046B" w:rsidRPr="00BB25CD">
          <w:rPr>
            <w:rStyle w:val="Hyperlink"/>
            <w:noProof/>
          </w:rPr>
          <w:t>9.3</w:t>
        </w:r>
        <w:r w:rsidR="0014046B">
          <w:rPr>
            <w:rFonts w:asciiTheme="minorHAnsi" w:eastAsiaTheme="minorEastAsia" w:hAnsiTheme="minorHAnsi" w:cstheme="minorBidi"/>
            <w:noProof/>
            <w:szCs w:val="22"/>
            <w:lang w:val="en-CA" w:eastAsia="en-CA"/>
          </w:rPr>
          <w:tab/>
        </w:r>
        <w:r w:rsidR="0014046B" w:rsidRPr="00BB25CD">
          <w:rPr>
            <w:rStyle w:val="Hyperlink"/>
            <w:noProof/>
          </w:rPr>
          <w:t>Limite du cumul</w:t>
        </w:r>
        <w:r w:rsidR="0014046B">
          <w:rPr>
            <w:noProof/>
            <w:webHidden/>
          </w:rPr>
          <w:tab/>
        </w:r>
        <w:r w:rsidR="0014046B">
          <w:rPr>
            <w:noProof/>
            <w:webHidden/>
          </w:rPr>
          <w:fldChar w:fldCharType="begin"/>
        </w:r>
        <w:r w:rsidR="0014046B">
          <w:rPr>
            <w:noProof/>
            <w:webHidden/>
          </w:rPr>
          <w:instrText xml:space="preserve"> PAGEREF _Toc1718660 \h </w:instrText>
        </w:r>
        <w:r w:rsidR="0014046B">
          <w:rPr>
            <w:noProof/>
            <w:webHidden/>
          </w:rPr>
        </w:r>
        <w:r w:rsidR="0014046B">
          <w:rPr>
            <w:noProof/>
            <w:webHidden/>
          </w:rPr>
          <w:fldChar w:fldCharType="separate"/>
        </w:r>
        <w:r w:rsidR="0014046B">
          <w:rPr>
            <w:noProof/>
            <w:webHidden/>
          </w:rPr>
          <w:t>6</w:t>
        </w:r>
        <w:r w:rsidR="0014046B">
          <w:rPr>
            <w:noProof/>
            <w:webHidden/>
          </w:rPr>
          <w:fldChar w:fldCharType="end"/>
        </w:r>
      </w:hyperlink>
    </w:p>
    <w:p w:rsidR="0014046B" w:rsidRDefault="00196A17">
      <w:pPr>
        <w:pStyle w:val="TOC2"/>
        <w:tabs>
          <w:tab w:val="left" w:pos="880"/>
          <w:tab w:val="right" w:leader="dot" w:pos="9360"/>
        </w:tabs>
        <w:rPr>
          <w:rFonts w:asciiTheme="minorHAnsi" w:eastAsiaTheme="minorEastAsia" w:hAnsiTheme="minorHAnsi" w:cstheme="minorBidi"/>
          <w:noProof/>
          <w:szCs w:val="22"/>
          <w:lang w:val="en-CA" w:eastAsia="en-CA"/>
        </w:rPr>
      </w:pPr>
      <w:hyperlink w:anchor="_Toc1718661" w:history="1">
        <w:r w:rsidR="0014046B" w:rsidRPr="00BB25CD">
          <w:rPr>
            <w:rStyle w:val="Hyperlink"/>
            <w:noProof/>
          </w:rPr>
          <w:t>9.4</w:t>
        </w:r>
        <w:r w:rsidR="0014046B">
          <w:rPr>
            <w:rFonts w:asciiTheme="minorHAnsi" w:eastAsiaTheme="minorEastAsia" w:hAnsiTheme="minorHAnsi" w:cstheme="minorBidi"/>
            <w:noProof/>
            <w:szCs w:val="22"/>
            <w:lang w:val="en-CA" w:eastAsia="en-CA"/>
          </w:rPr>
          <w:tab/>
        </w:r>
        <w:r w:rsidR="0014046B" w:rsidRPr="00BB25CD">
          <w:rPr>
            <w:rStyle w:val="Hyperlink"/>
            <w:noProof/>
          </w:rPr>
          <w:t>Vérifications</w:t>
        </w:r>
        <w:r w:rsidR="0014046B">
          <w:rPr>
            <w:noProof/>
            <w:webHidden/>
          </w:rPr>
          <w:tab/>
        </w:r>
        <w:r w:rsidR="0014046B">
          <w:rPr>
            <w:noProof/>
            <w:webHidden/>
          </w:rPr>
          <w:fldChar w:fldCharType="begin"/>
        </w:r>
        <w:r w:rsidR="0014046B">
          <w:rPr>
            <w:noProof/>
            <w:webHidden/>
          </w:rPr>
          <w:instrText xml:space="preserve"> PAGEREF _Toc1718661 \h </w:instrText>
        </w:r>
        <w:r w:rsidR="0014046B">
          <w:rPr>
            <w:noProof/>
            <w:webHidden/>
          </w:rPr>
        </w:r>
        <w:r w:rsidR="0014046B">
          <w:rPr>
            <w:noProof/>
            <w:webHidden/>
          </w:rPr>
          <w:fldChar w:fldCharType="separate"/>
        </w:r>
        <w:r w:rsidR="0014046B">
          <w:rPr>
            <w:noProof/>
            <w:webHidden/>
          </w:rPr>
          <w:t>7</w:t>
        </w:r>
        <w:r w:rsidR="0014046B">
          <w:rPr>
            <w:noProof/>
            <w:webHidden/>
          </w:rPr>
          <w:fldChar w:fldCharType="end"/>
        </w:r>
      </w:hyperlink>
    </w:p>
    <w:p w:rsidR="0014046B" w:rsidRDefault="00196A17">
      <w:pPr>
        <w:pStyle w:val="TOC2"/>
        <w:tabs>
          <w:tab w:val="left" w:pos="880"/>
          <w:tab w:val="right" w:leader="dot" w:pos="9360"/>
        </w:tabs>
        <w:rPr>
          <w:rFonts w:asciiTheme="minorHAnsi" w:eastAsiaTheme="minorEastAsia" w:hAnsiTheme="minorHAnsi" w:cstheme="minorBidi"/>
          <w:noProof/>
          <w:szCs w:val="22"/>
          <w:lang w:val="en-CA" w:eastAsia="en-CA"/>
        </w:rPr>
      </w:pPr>
      <w:hyperlink w:anchor="_Toc1718662" w:history="1">
        <w:r w:rsidR="0014046B" w:rsidRPr="00BB25CD">
          <w:rPr>
            <w:rStyle w:val="Hyperlink"/>
            <w:noProof/>
          </w:rPr>
          <w:t>9.5</w:t>
        </w:r>
        <w:r w:rsidR="0014046B">
          <w:rPr>
            <w:rFonts w:asciiTheme="minorHAnsi" w:eastAsiaTheme="minorEastAsia" w:hAnsiTheme="minorHAnsi" w:cstheme="minorBidi"/>
            <w:noProof/>
            <w:szCs w:val="22"/>
            <w:lang w:val="en-CA" w:eastAsia="en-CA"/>
          </w:rPr>
          <w:tab/>
        </w:r>
        <w:r w:rsidR="0014046B" w:rsidRPr="00BB25CD">
          <w:rPr>
            <w:rStyle w:val="Hyperlink"/>
            <w:noProof/>
          </w:rPr>
          <w:t>Dépenses admissibles et coûts inadmissibles</w:t>
        </w:r>
        <w:r w:rsidR="0014046B">
          <w:rPr>
            <w:noProof/>
            <w:webHidden/>
          </w:rPr>
          <w:tab/>
        </w:r>
        <w:r w:rsidR="0014046B">
          <w:rPr>
            <w:noProof/>
            <w:webHidden/>
          </w:rPr>
          <w:fldChar w:fldCharType="begin"/>
        </w:r>
        <w:r w:rsidR="0014046B">
          <w:rPr>
            <w:noProof/>
            <w:webHidden/>
          </w:rPr>
          <w:instrText xml:space="preserve"> PAGEREF _Toc1718662 \h </w:instrText>
        </w:r>
        <w:r w:rsidR="0014046B">
          <w:rPr>
            <w:noProof/>
            <w:webHidden/>
          </w:rPr>
        </w:r>
        <w:r w:rsidR="0014046B">
          <w:rPr>
            <w:noProof/>
            <w:webHidden/>
          </w:rPr>
          <w:fldChar w:fldCharType="separate"/>
        </w:r>
        <w:r w:rsidR="0014046B">
          <w:rPr>
            <w:noProof/>
            <w:webHidden/>
          </w:rPr>
          <w:t>7</w:t>
        </w:r>
        <w:r w:rsidR="0014046B">
          <w:rPr>
            <w:noProof/>
            <w:webHidden/>
          </w:rPr>
          <w:fldChar w:fldCharType="end"/>
        </w:r>
      </w:hyperlink>
    </w:p>
    <w:p w:rsidR="0014046B" w:rsidRDefault="00196A17">
      <w:pPr>
        <w:pStyle w:val="TOC1"/>
        <w:tabs>
          <w:tab w:val="left" w:pos="480"/>
          <w:tab w:val="right" w:leader="dot" w:pos="9360"/>
        </w:tabs>
        <w:rPr>
          <w:rFonts w:asciiTheme="minorHAnsi" w:eastAsiaTheme="minorEastAsia" w:hAnsiTheme="minorHAnsi" w:cstheme="minorBidi"/>
          <w:noProof/>
          <w:szCs w:val="22"/>
          <w:lang w:val="en-CA" w:eastAsia="en-CA"/>
        </w:rPr>
      </w:pPr>
      <w:hyperlink w:anchor="_Toc1718663" w:history="1">
        <w:r w:rsidR="0014046B" w:rsidRPr="00BB25CD">
          <w:rPr>
            <w:rStyle w:val="Hyperlink"/>
            <w:noProof/>
          </w:rPr>
          <w:t>10</w:t>
        </w:r>
        <w:r w:rsidR="0014046B">
          <w:rPr>
            <w:rFonts w:asciiTheme="minorHAnsi" w:eastAsiaTheme="minorEastAsia" w:hAnsiTheme="minorHAnsi" w:cstheme="minorBidi"/>
            <w:noProof/>
            <w:szCs w:val="22"/>
            <w:lang w:val="en-CA" w:eastAsia="en-CA"/>
          </w:rPr>
          <w:tab/>
        </w:r>
        <w:r w:rsidR="0014046B" w:rsidRPr="00BB25CD">
          <w:rPr>
            <w:rStyle w:val="Hyperlink"/>
            <w:noProof/>
          </w:rPr>
          <w:t>Exigences en matière de rapports</w:t>
        </w:r>
        <w:r w:rsidR="0014046B">
          <w:rPr>
            <w:noProof/>
            <w:webHidden/>
          </w:rPr>
          <w:tab/>
        </w:r>
        <w:r w:rsidR="0014046B">
          <w:rPr>
            <w:noProof/>
            <w:webHidden/>
          </w:rPr>
          <w:fldChar w:fldCharType="begin"/>
        </w:r>
        <w:r w:rsidR="0014046B">
          <w:rPr>
            <w:noProof/>
            <w:webHidden/>
          </w:rPr>
          <w:instrText xml:space="preserve"> PAGEREF _Toc1718663 \h </w:instrText>
        </w:r>
        <w:r w:rsidR="0014046B">
          <w:rPr>
            <w:noProof/>
            <w:webHidden/>
          </w:rPr>
        </w:r>
        <w:r w:rsidR="0014046B">
          <w:rPr>
            <w:noProof/>
            <w:webHidden/>
          </w:rPr>
          <w:fldChar w:fldCharType="separate"/>
        </w:r>
        <w:r w:rsidR="0014046B">
          <w:rPr>
            <w:noProof/>
            <w:webHidden/>
          </w:rPr>
          <w:t>8</w:t>
        </w:r>
        <w:r w:rsidR="0014046B">
          <w:rPr>
            <w:noProof/>
            <w:webHidden/>
          </w:rPr>
          <w:fldChar w:fldCharType="end"/>
        </w:r>
      </w:hyperlink>
    </w:p>
    <w:p w:rsidR="0014046B" w:rsidRDefault="00196A17">
      <w:pPr>
        <w:pStyle w:val="TOC1"/>
        <w:tabs>
          <w:tab w:val="left" w:pos="480"/>
          <w:tab w:val="right" w:leader="dot" w:pos="9360"/>
        </w:tabs>
        <w:rPr>
          <w:rFonts w:asciiTheme="minorHAnsi" w:eastAsiaTheme="minorEastAsia" w:hAnsiTheme="minorHAnsi" w:cstheme="minorBidi"/>
          <w:noProof/>
          <w:szCs w:val="22"/>
          <w:lang w:val="en-CA" w:eastAsia="en-CA"/>
        </w:rPr>
      </w:pPr>
      <w:hyperlink w:anchor="_Toc1718664" w:history="1">
        <w:r w:rsidR="0014046B" w:rsidRPr="00BB25CD">
          <w:rPr>
            <w:rStyle w:val="Hyperlink"/>
            <w:noProof/>
          </w:rPr>
          <w:t>11</w:t>
        </w:r>
        <w:r w:rsidR="0014046B">
          <w:rPr>
            <w:rFonts w:asciiTheme="minorHAnsi" w:eastAsiaTheme="minorEastAsia" w:hAnsiTheme="minorHAnsi" w:cstheme="minorBidi"/>
            <w:noProof/>
            <w:szCs w:val="22"/>
            <w:lang w:val="en-CA" w:eastAsia="en-CA"/>
          </w:rPr>
          <w:tab/>
        </w:r>
        <w:r w:rsidR="0014046B" w:rsidRPr="00BB25CD">
          <w:rPr>
            <w:rStyle w:val="Hyperlink"/>
            <w:noProof/>
          </w:rPr>
          <w:t>Base de calcul et moment des paiements</w:t>
        </w:r>
        <w:r w:rsidR="0014046B">
          <w:rPr>
            <w:noProof/>
            <w:webHidden/>
          </w:rPr>
          <w:tab/>
        </w:r>
        <w:r w:rsidR="0014046B">
          <w:rPr>
            <w:noProof/>
            <w:webHidden/>
          </w:rPr>
          <w:fldChar w:fldCharType="begin"/>
        </w:r>
        <w:r w:rsidR="0014046B">
          <w:rPr>
            <w:noProof/>
            <w:webHidden/>
          </w:rPr>
          <w:instrText xml:space="preserve"> PAGEREF _Toc1718664 \h </w:instrText>
        </w:r>
        <w:r w:rsidR="0014046B">
          <w:rPr>
            <w:noProof/>
            <w:webHidden/>
          </w:rPr>
        </w:r>
        <w:r w:rsidR="0014046B">
          <w:rPr>
            <w:noProof/>
            <w:webHidden/>
          </w:rPr>
          <w:fldChar w:fldCharType="separate"/>
        </w:r>
        <w:r w:rsidR="0014046B">
          <w:rPr>
            <w:noProof/>
            <w:webHidden/>
          </w:rPr>
          <w:t>8</w:t>
        </w:r>
        <w:r w:rsidR="0014046B">
          <w:rPr>
            <w:noProof/>
            <w:webHidden/>
          </w:rPr>
          <w:fldChar w:fldCharType="end"/>
        </w:r>
      </w:hyperlink>
    </w:p>
    <w:p w:rsidR="0014046B" w:rsidRDefault="00196A17">
      <w:pPr>
        <w:pStyle w:val="TOC1"/>
        <w:tabs>
          <w:tab w:val="left" w:pos="480"/>
          <w:tab w:val="right" w:leader="dot" w:pos="9360"/>
        </w:tabs>
        <w:rPr>
          <w:rFonts w:asciiTheme="minorHAnsi" w:eastAsiaTheme="minorEastAsia" w:hAnsiTheme="minorHAnsi" w:cstheme="minorBidi"/>
          <w:noProof/>
          <w:szCs w:val="22"/>
          <w:lang w:val="en-CA" w:eastAsia="en-CA"/>
        </w:rPr>
      </w:pPr>
      <w:hyperlink w:anchor="_Toc1718665" w:history="1">
        <w:r w:rsidR="0014046B" w:rsidRPr="00BB25CD">
          <w:rPr>
            <w:rStyle w:val="Hyperlink"/>
            <w:noProof/>
          </w:rPr>
          <w:t>12</w:t>
        </w:r>
        <w:r w:rsidR="0014046B">
          <w:rPr>
            <w:rFonts w:asciiTheme="minorHAnsi" w:eastAsiaTheme="minorEastAsia" w:hAnsiTheme="minorHAnsi" w:cstheme="minorBidi"/>
            <w:noProof/>
            <w:szCs w:val="22"/>
            <w:lang w:val="en-CA" w:eastAsia="en-CA"/>
          </w:rPr>
          <w:tab/>
        </w:r>
        <w:r w:rsidR="0014046B" w:rsidRPr="00BB25CD">
          <w:rPr>
            <w:rStyle w:val="Hyperlink"/>
            <w:noProof/>
          </w:rPr>
          <w:t>Propriété intellectuelle</w:t>
        </w:r>
        <w:r w:rsidR="0014046B">
          <w:rPr>
            <w:noProof/>
            <w:webHidden/>
          </w:rPr>
          <w:tab/>
        </w:r>
        <w:r w:rsidR="0014046B">
          <w:rPr>
            <w:noProof/>
            <w:webHidden/>
          </w:rPr>
          <w:fldChar w:fldCharType="begin"/>
        </w:r>
        <w:r w:rsidR="0014046B">
          <w:rPr>
            <w:noProof/>
            <w:webHidden/>
          </w:rPr>
          <w:instrText xml:space="preserve"> PAGEREF _Toc1718665 \h </w:instrText>
        </w:r>
        <w:r w:rsidR="0014046B">
          <w:rPr>
            <w:noProof/>
            <w:webHidden/>
          </w:rPr>
        </w:r>
        <w:r w:rsidR="0014046B">
          <w:rPr>
            <w:noProof/>
            <w:webHidden/>
          </w:rPr>
          <w:fldChar w:fldCharType="separate"/>
        </w:r>
        <w:r w:rsidR="0014046B">
          <w:rPr>
            <w:noProof/>
            <w:webHidden/>
          </w:rPr>
          <w:t>9</w:t>
        </w:r>
        <w:r w:rsidR="0014046B">
          <w:rPr>
            <w:noProof/>
            <w:webHidden/>
          </w:rPr>
          <w:fldChar w:fldCharType="end"/>
        </w:r>
      </w:hyperlink>
    </w:p>
    <w:p w:rsidR="0014046B" w:rsidRDefault="00196A17">
      <w:pPr>
        <w:pStyle w:val="TOC1"/>
        <w:tabs>
          <w:tab w:val="left" w:pos="480"/>
          <w:tab w:val="right" w:leader="dot" w:pos="9360"/>
        </w:tabs>
        <w:rPr>
          <w:rFonts w:asciiTheme="minorHAnsi" w:eastAsiaTheme="minorEastAsia" w:hAnsiTheme="minorHAnsi" w:cstheme="minorBidi"/>
          <w:noProof/>
          <w:szCs w:val="22"/>
          <w:lang w:val="en-CA" w:eastAsia="en-CA"/>
        </w:rPr>
      </w:pPr>
      <w:hyperlink w:anchor="_Toc1718666" w:history="1">
        <w:r w:rsidR="0014046B" w:rsidRPr="00BB25CD">
          <w:rPr>
            <w:rStyle w:val="Hyperlink"/>
            <w:noProof/>
          </w:rPr>
          <w:t>13</w:t>
        </w:r>
        <w:r w:rsidR="0014046B">
          <w:rPr>
            <w:rFonts w:asciiTheme="minorHAnsi" w:eastAsiaTheme="minorEastAsia" w:hAnsiTheme="minorHAnsi" w:cstheme="minorBidi"/>
            <w:noProof/>
            <w:szCs w:val="22"/>
            <w:lang w:val="en-CA" w:eastAsia="en-CA"/>
          </w:rPr>
          <w:tab/>
        </w:r>
        <w:r w:rsidR="0014046B" w:rsidRPr="00BB25CD">
          <w:rPr>
            <w:rStyle w:val="Hyperlink"/>
            <w:noProof/>
          </w:rPr>
          <w:t>Autres conditions</w:t>
        </w:r>
        <w:r w:rsidR="0014046B">
          <w:rPr>
            <w:noProof/>
            <w:webHidden/>
          </w:rPr>
          <w:tab/>
        </w:r>
        <w:r w:rsidR="0014046B">
          <w:rPr>
            <w:noProof/>
            <w:webHidden/>
          </w:rPr>
          <w:fldChar w:fldCharType="begin"/>
        </w:r>
        <w:r w:rsidR="0014046B">
          <w:rPr>
            <w:noProof/>
            <w:webHidden/>
          </w:rPr>
          <w:instrText xml:space="preserve"> PAGEREF _Toc1718666 \h </w:instrText>
        </w:r>
        <w:r w:rsidR="0014046B">
          <w:rPr>
            <w:noProof/>
            <w:webHidden/>
          </w:rPr>
        </w:r>
        <w:r w:rsidR="0014046B">
          <w:rPr>
            <w:noProof/>
            <w:webHidden/>
          </w:rPr>
          <w:fldChar w:fldCharType="separate"/>
        </w:r>
        <w:r w:rsidR="0014046B">
          <w:rPr>
            <w:noProof/>
            <w:webHidden/>
          </w:rPr>
          <w:t>9</w:t>
        </w:r>
        <w:r w:rsidR="0014046B">
          <w:rPr>
            <w:noProof/>
            <w:webHidden/>
          </w:rPr>
          <w:fldChar w:fldCharType="end"/>
        </w:r>
      </w:hyperlink>
    </w:p>
    <w:p w:rsidR="0014046B" w:rsidRDefault="00196A17">
      <w:pPr>
        <w:pStyle w:val="TOC1"/>
        <w:tabs>
          <w:tab w:val="left" w:pos="480"/>
          <w:tab w:val="right" w:leader="dot" w:pos="9360"/>
        </w:tabs>
        <w:rPr>
          <w:rFonts w:asciiTheme="minorHAnsi" w:eastAsiaTheme="minorEastAsia" w:hAnsiTheme="minorHAnsi" w:cstheme="minorBidi"/>
          <w:noProof/>
          <w:szCs w:val="22"/>
          <w:lang w:val="en-CA" w:eastAsia="en-CA"/>
        </w:rPr>
      </w:pPr>
      <w:hyperlink w:anchor="_Toc1718667" w:history="1">
        <w:r w:rsidR="0014046B" w:rsidRPr="00BB25CD">
          <w:rPr>
            <w:rStyle w:val="Hyperlink"/>
            <w:noProof/>
          </w:rPr>
          <w:t>14</w:t>
        </w:r>
        <w:r w:rsidR="0014046B">
          <w:rPr>
            <w:rFonts w:asciiTheme="minorHAnsi" w:eastAsiaTheme="minorEastAsia" w:hAnsiTheme="minorHAnsi" w:cstheme="minorBidi"/>
            <w:noProof/>
            <w:szCs w:val="22"/>
            <w:lang w:val="en-CA" w:eastAsia="en-CA"/>
          </w:rPr>
          <w:tab/>
        </w:r>
        <w:r w:rsidR="0014046B" w:rsidRPr="00BB25CD">
          <w:rPr>
            <w:rStyle w:val="Hyperlink"/>
            <w:noProof/>
          </w:rPr>
          <w:t>Confidentialité et sécurité de l’information</w:t>
        </w:r>
        <w:r w:rsidR="0014046B">
          <w:rPr>
            <w:noProof/>
            <w:webHidden/>
          </w:rPr>
          <w:tab/>
        </w:r>
        <w:r w:rsidR="0014046B">
          <w:rPr>
            <w:noProof/>
            <w:webHidden/>
          </w:rPr>
          <w:fldChar w:fldCharType="begin"/>
        </w:r>
        <w:r w:rsidR="0014046B">
          <w:rPr>
            <w:noProof/>
            <w:webHidden/>
          </w:rPr>
          <w:instrText xml:space="preserve"> PAGEREF _Toc1718667 \h </w:instrText>
        </w:r>
        <w:r w:rsidR="0014046B">
          <w:rPr>
            <w:noProof/>
            <w:webHidden/>
          </w:rPr>
        </w:r>
        <w:r w:rsidR="0014046B">
          <w:rPr>
            <w:noProof/>
            <w:webHidden/>
          </w:rPr>
          <w:fldChar w:fldCharType="separate"/>
        </w:r>
        <w:r w:rsidR="0014046B">
          <w:rPr>
            <w:noProof/>
            <w:webHidden/>
          </w:rPr>
          <w:t>10</w:t>
        </w:r>
        <w:r w:rsidR="0014046B">
          <w:rPr>
            <w:noProof/>
            <w:webHidden/>
          </w:rPr>
          <w:fldChar w:fldCharType="end"/>
        </w:r>
      </w:hyperlink>
    </w:p>
    <w:p w:rsidR="00721589" w:rsidRDefault="003909B1" w:rsidP="006433CF">
      <w:pPr>
        <w:sectPr w:rsidR="00721589" w:rsidSect="00721589">
          <w:footerReference w:type="even" r:id="rId16"/>
          <w:footerReference w:type="default" r:id="rId17"/>
          <w:pgSz w:w="12240" w:h="15840" w:code="1"/>
          <w:pgMar w:top="1440" w:right="1440" w:bottom="1440" w:left="1430" w:header="1440" w:footer="1440" w:gutter="0"/>
          <w:pgNumType w:fmt="lowerRoman" w:start="1"/>
          <w:cols w:space="720"/>
          <w:docGrid w:linePitch="299"/>
        </w:sectPr>
      </w:pPr>
      <w:r>
        <w:fldChar w:fldCharType="end"/>
      </w:r>
      <w:bookmarkStart w:id="3" w:name="_Toc295427188"/>
    </w:p>
    <w:p w:rsidR="0044069E" w:rsidRPr="009F349D" w:rsidRDefault="0044069E" w:rsidP="006433CF">
      <w:pPr>
        <w:pStyle w:val="Heading1"/>
      </w:pPr>
      <w:bookmarkStart w:id="4" w:name="_Toc1718644"/>
      <w:r>
        <w:lastRenderedPageBreak/>
        <w:t>Avis de non-responsabilité</w:t>
      </w:r>
      <w:bookmarkEnd w:id="4"/>
    </w:p>
    <w:p w:rsidR="00EE39AF" w:rsidRPr="009F349D" w:rsidRDefault="00EE39AF" w:rsidP="006433CF">
      <w:pPr>
        <w:rPr>
          <w:rFonts w:cs="Arial"/>
        </w:rPr>
      </w:pPr>
    </w:p>
    <w:p w:rsidR="006433CF" w:rsidRDefault="0044069E" w:rsidP="006433CF">
      <w:pPr>
        <w:rPr>
          <w:b/>
        </w:rPr>
      </w:pPr>
      <w:r>
        <w:rPr>
          <w:b/>
        </w:rPr>
        <w:t>Ressources naturelles Canada (RNCan) se réserve le droit de modifier ou d</w:t>
      </w:r>
      <w:r w:rsidR="006433CF">
        <w:rPr>
          <w:b/>
        </w:rPr>
        <w:t>’</w:t>
      </w:r>
      <w:r>
        <w:rPr>
          <w:b/>
        </w:rPr>
        <w:t>annuler tout appel de propositions, tout montant de financement ou toute date limite associés à un volet du programme, ou d</w:t>
      </w:r>
      <w:r w:rsidR="006433CF">
        <w:rPr>
          <w:b/>
        </w:rPr>
        <w:t>’</w:t>
      </w:r>
      <w:r>
        <w:rPr>
          <w:b/>
        </w:rPr>
        <w:t>annuler le processus de présentation de demandes à sa discrétion. Tout changement sera communiqué aux demandeurs inscrits par courriel.</w:t>
      </w:r>
    </w:p>
    <w:p w:rsidR="0044069E" w:rsidRPr="009F349D" w:rsidRDefault="0044069E" w:rsidP="006433CF">
      <w:pPr>
        <w:rPr>
          <w:rFonts w:cs="Arial"/>
        </w:rPr>
      </w:pPr>
    </w:p>
    <w:p w:rsidR="006433CF" w:rsidRDefault="0044069E" w:rsidP="006433CF">
      <w:pPr>
        <w:rPr>
          <w:b/>
        </w:rPr>
      </w:pPr>
      <w:r>
        <w:rPr>
          <w:b/>
        </w:rPr>
        <w:t>Tous les coûts engagés dans le cadre de la préparation de la proposition de projet le sont au risque du demandeur. Dans tous les cas, le financement visé dans le cadre du processus de présentation, d</w:t>
      </w:r>
      <w:r w:rsidR="006433CF">
        <w:rPr>
          <w:b/>
        </w:rPr>
        <w:t>’</w:t>
      </w:r>
      <w:r>
        <w:rPr>
          <w:b/>
        </w:rPr>
        <w:t>examen et d</w:t>
      </w:r>
      <w:r w:rsidR="006433CF">
        <w:rPr>
          <w:b/>
        </w:rPr>
        <w:t>’</w:t>
      </w:r>
      <w:r>
        <w:rPr>
          <w:b/>
        </w:rPr>
        <w:t>évaluation dépendra de la mise à exécution d</w:t>
      </w:r>
      <w:r w:rsidR="006433CF">
        <w:rPr>
          <w:b/>
        </w:rPr>
        <w:t>’</w:t>
      </w:r>
      <w:r>
        <w:rPr>
          <w:b/>
        </w:rPr>
        <w:t>un accord de contribution.</w:t>
      </w:r>
    </w:p>
    <w:p w:rsidR="0044069E" w:rsidRPr="009F349D" w:rsidRDefault="0044069E" w:rsidP="006433CF">
      <w:pPr>
        <w:rPr>
          <w:rFonts w:cs="Arial"/>
        </w:rPr>
      </w:pPr>
    </w:p>
    <w:p w:rsidR="006433CF" w:rsidRDefault="0044069E" w:rsidP="006433CF">
      <w:r>
        <w:rPr>
          <w:b/>
        </w:rPr>
        <w:t>Jusqu</w:t>
      </w:r>
      <w:r w:rsidR="006433CF">
        <w:rPr>
          <w:b/>
        </w:rPr>
        <w:t>’</w:t>
      </w:r>
      <w:r>
        <w:rPr>
          <w:b/>
        </w:rPr>
        <w:t>à ce qu</w:t>
      </w:r>
      <w:r w:rsidR="006433CF">
        <w:rPr>
          <w:b/>
        </w:rPr>
        <w:t>’</w:t>
      </w:r>
      <w:r>
        <w:rPr>
          <w:b/>
        </w:rPr>
        <w:t>un accord de contribution écrit soit signé par les deux parties, aucun engagement ni aucune obligation n</w:t>
      </w:r>
      <w:r w:rsidR="006433CF">
        <w:rPr>
          <w:b/>
        </w:rPr>
        <w:t>’</w:t>
      </w:r>
      <w:r>
        <w:rPr>
          <w:b/>
        </w:rPr>
        <w:t>existent de la part de RNCan de verser une contribution financière à un projet donné, y compris le remboursement de frais engagés ou assumés avant la signature d</w:t>
      </w:r>
      <w:r w:rsidR="006433CF">
        <w:rPr>
          <w:b/>
        </w:rPr>
        <w:t>’</w:t>
      </w:r>
      <w:r>
        <w:rPr>
          <w:b/>
        </w:rPr>
        <w:t>un tel accord de contribution.</w:t>
      </w:r>
    </w:p>
    <w:p w:rsidR="00BD7AB6" w:rsidRPr="009F349D" w:rsidRDefault="00BD7AB6" w:rsidP="006433CF">
      <w:pPr>
        <w:pStyle w:val="Heading1"/>
      </w:pPr>
      <w:bookmarkStart w:id="5" w:name="_Toc1718645"/>
      <w:r>
        <w:t>Définitions</w:t>
      </w:r>
      <w:bookmarkEnd w:id="5"/>
    </w:p>
    <w:p w:rsidR="00EE39AF" w:rsidRPr="009F349D" w:rsidRDefault="00EE39AF" w:rsidP="006433CF">
      <w:pPr>
        <w:rPr>
          <w:rFonts w:cs="Arial"/>
        </w:rPr>
      </w:pPr>
    </w:p>
    <w:p w:rsidR="00BD7AB6" w:rsidRPr="009F349D" w:rsidRDefault="00BD7AB6" w:rsidP="006433CF">
      <w:pPr>
        <w:rPr>
          <w:rFonts w:cs="Arial"/>
        </w:rPr>
      </w:pPr>
      <w:r>
        <w:t xml:space="preserve">Par </w:t>
      </w:r>
      <w:r>
        <w:rPr>
          <w:b/>
        </w:rPr>
        <w:t>contribution</w:t>
      </w:r>
      <w:r>
        <w:t>, on entend le financement fourni par le ministre en vertu de l</w:t>
      </w:r>
      <w:r w:rsidR="006433CF">
        <w:t>’</w:t>
      </w:r>
      <w:r>
        <w:t>accord de contribution.</w:t>
      </w:r>
    </w:p>
    <w:p w:rsidR="00BD7AB6" w:rsidRPr="009F349D" w:rsidRDefault="00BD7AB6" w:rsidP="006433CF">
      <w:pPr>
        <w:rPr>
          <w:rFonts w:cs="Arial"/>
          <w:b/>
        </w:rPr>
      </w:pPr>
    </w:p>
    <w:p w:rsidR="006433CF" w:rsidRDefault="00BD7AB6" w:rsidP="006433CF">
      <w:r>
        <w:t xml:space="preserve">Par </w:t>
      </w:r>
      <w:r>
        <w:rPr>
          <w:b/>
        </w:rPr>
        <w:t>période des dépenses admissibles</w:t>
      </w:r>
      <w:r>
        <w:t>, on entend la période qui commence au moment de la signature de l</w:t>
      </w:r>
      <w:r w:rsidR="006433CF">
        <w:t>’</w:t>
      </w:r>
      <w:r>
        <w:t>accord de contribution et qui se termine à la date d</w:t>
      </w:r>
      <w:r w:rsidR="006433CF">
        <w:t>’</w:t>
      </w:r>
      <w:r>
        <w:t>achèvement ou à la date de fin du projet, selon la première éventualité qui se présente, conformément aux modalités de l</w:t>
      </w:r>
      <w:r w:rsidR="006433CF">
        <w:t>’</w:t>
      </w:r>
      <w:r>
        <w:t>accord de contribution.</w:t>
      </w:r>
    </w:p>
    <w:p w:rsidR="000173A6" w:rsidRPr="009F349D" w:rsidRDefault="000173A6" w:rsidP="006433CF">
      <w:pPr>
        <w:rPr>
          <w:rFonts w:cs="Arial"/>
          <w:b/>
        </w:rPr>
      </w:pPr>
    </w:p>
    <w:p w:rsidR="000173A6" w:rsidRPr="009F349D" w:rsidRDefault="00BD7AB6" w:rsidP="006433CF">
      <w:pPr>
        <w:rPr>
          <w:rFonts w:cs="Arial"/>
        </w:rPr>
      </w:pPr>
      <w:r>
        <w:t xml:space="preserve">Par </w:t>
      </w:r>
      <w:r>
        <w:rPr>
          <w:b/>
        </w:rPr>
        <w:t>dépenses admissibles</w:t>
      </w:r>
      <w:r>
        <w:t>, on entend les dépenses engagées par le promoteur, comme elles sont énumérées à la section 9.5, au cours de la période des dépenses admissibles, conformément aux modalités de l</w:t>
      </w:r>
      <w:r w:rsidR="006433CF">
        <w:t>’</w:t>
      </w:r>
      <w:r>
        <w:t>accord de contribution.</w:t>
      </w:r>
    </w:p>
    <w:p w:rsidR="00BD7AB6" w:rsidRPr="009F349D" w:rsidRDefault="00BD7AB6" w:rsidP="006433CF">
      <w:pPr>
        <w:rPr>
          <w:rFonts w:cs="Arial"/>
        </w:rPr>
      </w:pPr>
    </w:p>
    <w:p w:rsidR="000173A6" w:rsidRDefault="00BD7AB6" w:rsidP="006433CF">
      <w:pPr>
        <w:rPr>
          <w:rFonts w:cs="Arial"/>
        </w:rPr>
      </w:pPr>
      <w:r>
        <w:t xml:space="preserve">Par </w:t>
      </w:r>
      <w:r>
        <w:rPr>
          <w:b/>
        </w:rPr>
        <w:t>projet</w:t>
      </w:r>
      <w:r>
        <w:t>, on entend le projet décrit et présenté par le promoteur dans la proposition de projet.</w:t>
      </w:r>
    </w:p>
    <w:p w:rsidR="00855AD3" w:rsidRPr="00726809" w:rsidRDefault="00855AD3" w:rsidP="006433CF">
      <w:pPr>
        <w:rPr>
          <w:rFonts w:cs="Arial"/>
        </w:rPr>
      </w:pPr>
    </w:p>
    <w:p w:rsidR="00855AD3" w:rsidRPr="00855AD3" w:rsidRDefault="00855AD3" w:rsidP="006433CF">
      <w:pPr>
        <w:rPr>
          <w:rFonts w:cs="Arial"/>
          <w:szCs w:val="22"/>
        </w:rPr>
      </w:pPr>
      <w:r>
        <w:rPr>
          <w:color w:val="000000"/>
          <w:szCs w:val="22"/>
        </w:rPr>
        <w:t xml:space="preserve">Par </w:t>
      </w:r>
      <w:r>
        <w:rPr>
          <w:b/>
          <w:color w:val="000000"/>
          <w:szCs w:val="22"/>
        </w:rPr>
        <w:t>promoteur</w:t>
      </w:r>
      <w:r>
        <w:rPr>
          <w:color w:val="000000"/>
          <w:szCs w:val="22"/>
        </w:rPr>
        <w:t>, on entend le demandeur retenu qui a conclu un accord de contribution avec RNCan.</w:t>
      </w:r>
    </w:p>
    <w:p w:rsidR="000173A6" w:rsidRPr="00726809" w:rsidRDefault="000173A6" w:rsidP="006433CF">
      <w:pPr>
        <w:rPr>
          <w:rFonts w:cs="Arial"/>
        </w:rPr>
      </w:pPr>
    </w:p>
    <w:p w:rsidR="007C22A2" w:rsidRPr="009F349D" w:rsidRDefault="007C22A2" w:rsidP="006433CF">
      <w:pPr>
        <w:rPr>
          <w:rFonts w:cs="Arial"/>
        </w:rPr>
      </w:pPr>
      <w:r>
        <w:t xml:space="preserve">Par </w:t>
      </w:r>
      <w:r>
        <w:rPr>
          <w:b/>
        </w:rPr>
        <w:t>cumul des contributions</w:t>
      </w:r>
      <w:r>
        <w:t>, on entend la limite maximale du financement total versé par le gouvernement canadien permis dans le cadre d</w:t>
      </w:r>
      <w:r w:rsidR="006433CF">
        <w:t>’</w:t>
      </w:r>
      <w:r>
        <w:t>un accord de contribution visant un projet. Par financement du gouvernement canadien, on entend le financement des gouvernements fédéral, provinciaux, territoriaux et municipaux pour cette activité.</w:t>
      </w:r>
    </w:p>
    <w:p w:rsidR="00BD7AB6" w:rsidRPr="009F349D" w:rsidRDefault="00BD7AB6" w:rsidP="006433CF">
      <w:pPr>
        <w:rPr>
          <w:rFonts w:cs="Arial"/>
        </w:rPr>
      </w:pPr>
    </w:p>
    <w:p w:rsidR="00855AD3" w:rsidRPr="00855AD3" w:rsidRDefault="00BD7AB6" w:rsidP="006433CF">
      <w:pPr>
        <w:rPr>
          <w:rFonts w:cs="Arial"/>
          <w:b/>
        </w:rPr>
      </w:pPr>
      <w:r>
        <w:t xml:space="preserve">Par </w:t>
      </w:r>
      <w:r>
        <w:rPr>
          <w:b/>
        </w:rPr>
        <w:t>coût total du projet</w:t>
      </w:r>
      <w:r>
        <w:t>, on entend la contribution et toute autre contribution vérifiable reçue ou fournie par le promoteur, depuis la date de signature de l</w:t>
      </w:r>
      <w:r w:rsidR="006433CF">
        <w:t>’</w:t>
      </w:r>
      <w:r>
        <w:t>accord de contribution jusqu</w:t>
      </w:r>
      <w:r w:rsidR="006433CF">
        <w:t>’</w:t>
      </w:r>
      <w:r>
        <w:t>à la date d</w:t>
      </w:r>
      <w:r w:rsidR="006433CF">
        <w:t>’</w:t>
      </w:r>
      <w:r>
        <w:t>achèvement du projet, qui sont attribuables directement au projet.</w:t>
      </w:r>
    </w:p>
    <w:p w:rsidR="009E7EFD" w:rsidRPr="009F349D" w:rsidRDefault="00B86FCB" w:rsidP="006433CF">
      <w:pPr>
        <w:pStyle w:val="Heading1"/>
      </w:pPr>
      <w:bookmarkStart w:id="6" w:name="_Toc1718646"/>
      <w:r>
        <w:lastRenderedPageBreak/>
        <w:t>Description et contexte du programme</w:t>
      </w:r>
      <w:bookmarkEnd w:id="6"/>
    </w:p>
    <w:p w:rsidR="00EE39AF" w:rsidRPr="009F349D" w:rsidRDefault="00EE39AF" w:rsidP="006433CF">
      <w:pPr>
        <w:rPr>
          <w:rFonts w:cs="Arial"/>
        </w:rPr>
      </w:pPr>
    </w:p>
    <w:p w:rsidR="003711AA" w:rsidRPr="003711AA" w:rsidRDefault="003711AA" w:rsidP="006433CF">
      <w:pPr>
        <w:rPr>
          <w:rFonts w:ascii="Helvetica Neue" w:hAnsi="Helvetica Neue" w:cs="Arial"/>
          <w:color w:val="333333"/>
        </w:rPr>
      </w:pPr>
      <w:r>
        <w:rPr>
          <w:rFonts w:ascii="Helvetica Neue" w:hAnsi="Helvetica Neue"/>
          <w:color w:val="333333"/>
        </w:rPr>
        <w:t>Une grande cybersécurité est un aspect essentiel de l</w:t>
      </w:r>
      <w:r w:rsidR="006433CF">
        <w:rPr>
          <w:rFonts w:ascii="Helvetica Neue" w:hAnsi="Helvetica Neue"/>
          <w:color w:val="333333"/>
        </w:rPr>
        <w:t>’</w:t>
      </w:r>
      <w:r>
        <w:rPr>
          <w:rFonts w:ascii="Helvetica Neue" w:hAnsi="Helvetica Neue"/>
          <w:color w:val="333333"/>
        </w:rPr>
        <w:t xml:space="preserve">innovation et de la prospérité au Canada. Les individus, les gouvernements et les entreprises veulent tous pouvoir faire confiance aux </w:t>
      </w:r>
      <w:proofErr w:type="spellStart"/>
      <w:r>
        <w:rPr>
          <w:rFonts w:ascii="Helvetica Neue" w:hAnsi="Helvetica Neue"/>
          <w:color w:val="333333"/>
        </w:rPr>
        <w:t>cybersystèmes</w:t>
      </w:r>
      <w:proofErr w:type="spellEnd"/>
      <w:r>
        <w:rPr>
          <w:rFonts w:ascii="Helvetica Neue" w:hAnsi="Helvetica Neue"/>
          <w:color w:val="333333"/>
        </w:rPr>
        <w:t xml:space="preserve"> utilisés dans leur vie quotidienne. Le gouvernement du Canada (GC) est résolu à défendre le Canada et les Canadiens contre les </w:t>
      </w:r>
      <w:proofErr w:type="spellStart"/>
      <w:r>
        <w:rPr>
          <w:rFonts w:ascii="Helvetica Neue" w:hAnsi="Helvetica Neue"/>
          <w:color w:val="333333"/>
        </w:rPr>
        <w:t>cybermenaces</w:t>
      </w:r>
      <w:proofErr w:type="spellEnd"/>
      <w:r>
        <w:rPr>
          <w:rFonts w:ascii="Helvetica Neue" w:hAnsi="Helvetica Neue"/>
          <w:color w:val="333333"/>
        </w:rPr>
        <w:t>. Selon sa vision de l</w:t>
      </w:r>
      <w:r w:rsidR="006433CF">
        <w:rPr>
          <w:rFonts w:ascii="Helvetica Neue" w:hAnsi="Helvetica Neue"/>
          <w:color w:val="333333"/>
        </w:rPr>
        <w:t>’</w:t>
      </w:r>
      <w:r>
        <w:rPr>
          <w:rFonts w:ascii="Helvetica Neue" w:hAnsi="Helvetica Neue"/>
          <w:color w:val="333333"/>
        </w:rPr>
        <w:t xml:space="preserve">avenir, tous les Canadiens jouent un rôle actif pour façonner et assurer la </w:t>
      </w:r>
      <w:proofErr w:type="spellStart"/>
      <w:r>
        <w:rPr>
          <w:rFonts w:ascii="Helvetica Neue" w:hAnsi="Helvetica Neue"/>
          <w:color w:val="333333"/>
        </w:rPr>
        <w:t>cyberrésilience</w:t>
      </w:r>
      <w:proofErr w:type="spellEnd"/>
      <w:r>
        <w:rPr>
          <w:rFonts w:ascii="Helvetica Neue" w:hAnsi="Helvetica Neue"/>
          <w:color w:val="333333"/>
        </w:rPr>
        <w:t xml:space="preserve"> du Canada.</w:t>
      </w:r>
    </w:p>
    <w:p w:rsidR="003711AA" w:rsidRPr="00726809" w:rsidRDefault="003711AA" w:rsidP="006433CF">
      <w:pPr>
        <w:rPr>
          <w:rFonts w:ascii="Helvetica Neue" w:hAnsi="Helvetica Neue" w:cs="Arial"/>
          <w:color w:val="333333"/>
        </w:rPr>
      </w:pPr>
    </w:p>
    <w:p w:rsidR="006433CF" w:rsidRDefault="003711AA" w:rsidP="006433CF">
      <w:r>
        <w:t>Comme le mentionne le budget de 2018, le GC a décidé d</w:t>
      </w:r>
      <w:r w:rsidR="006433CF">
        <w:t>’</w:t>
      </w:r>
      <w:r>
        <w:t xml:space="preserve">accorder une grande importance à la cybersécurité. Avec des investissements de 507,7 millions de dollars sur cinq ans et de 108,8 millions de dollars par année par la suite pour financer la nouvelle </w:t>
      </w:r>
      <w:r>
        <w:rPr>
          <w:b/>
        </w:rPr>
        <w:t>Stratégie nationale en matière de cybersécurité</w:t>
      </w:r>
      <w:r>
        <w:t xml:space="preserve"> du Canada, le GC a entrepris des projets historiques afin de renforcer l</w:t>
      </w:r>
      <w:r w:rsidR="006433CF">
        <w:t>’</w:t>
      </w:r>
      <w:r>
        <w:t xml:space="preserve">environnement de cybersécurité du Canada, tout en créant un paysage de </w:t>
      </w:r>
      <w:proofErr w:type="spellStart"/>
      <w:r>
        <w:t>cyberprotection</w:t>
      </w:r>
      <w:proofErr w:type="spellEnd"/>
      <w:r>
        <w:t xml:space="preserve"> plus cohésif pour le gouvernement fédéral et ses intervenants et partenaires qui rejoint l</w:t>
      </w:r>
      <w:r w:rsidR="006433CF">
        <w:t>’</w:t>
      </w:r>
      <w:r>
        <w:t>ensemble diversifié d</w:t>
      </w:r>
      <w:r w:rsidR="006433CF">
        <w:t>’</w:t>
      </w:r>
      <w:r>
        <w:t>utilisateurs canadiens de systèmes numériques.</w:t>
      </w:r>
    </w:p>
    <w:p w:rsidR="003711AA" w:rsidRPr="003711AA" w:rsidRDefault="003711AA" w:rsidP="006433CF">
      <w:pPr>
        <w:rPr>
          <w:rFonts w:cs="Arial"/>
        </w:rPr>
      </w:pPr>
    </w:p>
    <w:p w:rsidR="006433CF" w:rsidRDefault="003711AA" w:rsidP="006433CF">
      <w:pPr>
        <w:spacing w:after="173"/>
        <w:rPr>
          <w:color w:val="333333"/>
          <w:szCs w:val="22"/>
        </w:rPr>
      </w:pPr>
      <w:r>
        <w:t>À l</w:t>
      </w:r>
      <w:r w:rsidR="006433CF">
        <w:t>’</w:t>
      </w:r>
      <w:r>
        <w:t xml:space="preserve">appui de la nouvelle Stratégie, le </w:t>
      </w:r>
      <w:r>
        <w:rPr>
          <w:b/>
        </w:rPr>
        <w:t xml:space="preserve">Programme de </w:t>
      </w:r>
      <w:r w:rsidR="00711E0E">
        <w:rPr>
          <w:b/>
        </w:rPr>
        <w:t xml:space="preserve">la </w:t>
      </w:r>
      <w:r>
        <w:rPr>
          <w:b/>
        </w:rPr>
        <w:t>cybersécurité et de l</w:t>
      </w:r>
      <w:r w:rsidR="006433CF">
        <w:rPr>
          <w:b/>
        </w:rPr>
        <w:t>’</w:t>
      </w:r>
      <w:r>
        <w:rPr>
          <w:b/>
        </w:rPr>
        <w:t>infrastructure énergétique essentielle</w:t>
      </w:r>
      <w:r>
        <w:t xml:space="preserve"> (PCIEE ou le Programme) de </w:t>
      </w:r>
      <w:r>
        <w:rPr>
          <w:b/>
        </w:rPr>
        <w:t>RNCan</w:t>
      </w:r>
      <w:r>
        <w:t xml:space="preserve"> recevra 2,42 millions de dollars sur cinq ans, afin d</w:t>
      </w:r>
      <w:r w:rsidR="006433CF">
        <w:t>’</w:t>
      </w:r>
      <w:r>
        <w:t>améliorer la cybersécurité et la résilience de l</w:t>
      </w:r>
      <w:r w:rsidR="006433CF">
        <w:t>’</w:t>
      </w:r>
      <w:r>
        <w:t>infrastructure énergétique nationale et transfrontalière.</w:t>
      </w:r>
    </w:p>
    <w:p w:rsidR="006433CF" w:rsidRDefault="003711AA" w:rsidP="006433CF">
      <w:r>
        <w:t xml:space="preserve">Les </w:t>
      </w:r>
      <w:proofErr w:type="spellStart"/>
      <w:r>
        <w:t>cybermenaces</w:t>
      </w:r>
      <w:proofErr w:type="spellEnd"/>
      <w:r>
        <w:t xml:space="preserve"> à l</w:t>
      </w:r>
      <w:r w:rsidR="006433CF">
        <w:t>’</w:t>
      </w:r>
      <w:r>
        <w:t>infrastructure énergétique essentielle au Canada augmentent avec l</w:t>
      </w:r>
      <w:r w:rsidR="006433CF">
        <w:t>’</w:t>
      </w:r>
      <w:r>
        <w:t xml:space="preserve">automatisation et la numérisation des systèmes de commande industriels utilisés pour contrôler, surveiller les processus industriels et produire des rapports à leur sujet. Les criminels et autres auteurs de </w:t>
      </w:r>
      <w:proofErr w:type="spellStart"/>
      <w:r>
        <w:t>cybermenaces</w:t>
      </w:r>
      <w:proofErr w:type="spellEnd"/>
      <w:r>
        <w:t xml:space="preserve"> malveillantes profitent des lacunes en matière de sécurité, du manque de sensibilisation à la cybersécurité et des développements technologiques pour compromettre ces </w:t>
      </w:r>
      <w:proofErr w:type="spellStart"/>
      <w:r>
        <w:t>cybersystèmes</w:t>
      </w:r>
      <w:proofErr w:type="spellEnd"/>
      <w:r>
        <w:t>.</w:t>
      </w:r>
    </w:p>
    <w:p w:rsidR="003711AA" w:rsidRPr="00726809" w:rsidRDefault="003711AA" w:rsidP="006433CF">
      <w:pPr>
        <w:rPr>
          <w:rFonts w:cs="Arial"/>
        </w:rPr>
      </w:pPr>
    </w:p>
    <w:p w:rsidR="006433CF" w:rsidRDefault="003711AA" w:rsidP="006433CF">
      <w:r>
        <w:t>RNCan contribue au rôle de leadership du GC en faisant la promotion de la sécurité de l</w:t>
      </w:r>
      <w:r w:rsidR="006433CF">
        <w:t>’</w:t>
      </w:r>
      <w:r>
        <w:t>infrastructure énergétique, et en aidant à assurer la fiabilité et la résilience des systèmes énergétiques nationaux et transfrontaliers sur lesquels les Canadiens et les entreprises intersectorielles canadiennes comptent. À cet égard, RNCan assurera la prestation du Programme, afin de financer des projets qui amélioreront la sécurité et la résilience de l</w:t>
      </w:r>
      <w:r w:rsidR="006433CF">
        <w:t>’</w:t>
      </w:r>
      <w:r>
        <w:t>infrastructure énergétique nationale et transfrontalière, en renforçant la capacité du secteur de l</w:t>
      </w:r>
      <w:r w:rsidR="006433CF">
        <w:t>’</w:t>
      </w:r>
      <w:r>
        <w:t xml:space="preserve">énergie à prévenir les </w:t>
      </w:r>
      <w:proofErr w:type="spellStart"/>
      <w:r>
        <w:t>cybermenaces</w:t>
      </w:r>
      <w:proofErr w:type="spellEnd"/>
      <w:r>
        <w:t>, à s</w:t>
      </w:r>
      <w:r w:rsidR="006433CF">
        <w:t>’</w:t>
      </w:r>
      <w:r>
        <w:t>y préparer, à intervenir et à se rétablir lorsqu</w:t>
      </w:r>
      <w:r w:rsidR="006433CF">
        <w:t>’</w:t>
      </w:r>
      <w:r>
        <w:t>elles se concrétisent.</w:t>
      </w:r>
    </w:p>
    <w:p w:rsidR="003711AA" w:rsidRPr="003711AA" w:rsidRDefault="003711AA" w:rsidP="006433CF">
      <w:pPr>
        <w:rPr>
          <w:rFonts w:cs="Arial"/>
        </w:rPr>
      </w:pPr>
    </w:p>
    <w:p w:rsidR="006433CF" w:rsidRDefault="003711AA" w:rsidP="006433CF">
      <w:r>
        <w:t>Le Programme cherche à encourager la recherche et le développement, le partage des connaissances et de l</w:t>
      </w:r>
      <w:r w:rsidR="006433CF">
        <w:t>’</w:t>
      </w:r>
      <w:r>
        <w:t>expertise en matière de cybersécurité, ainsi que l</w:t>
      </w:r>
      <w:r w:rsidR="006433CF">
        <w:t>’</w:t>
      </w:r>
      <w:r>
        <w:t xml:space="preserve">élaboration de normes, de pratiques exemplaires et de lignes directrices concernant les </w:t>
      </w:r>
      <w:proofErr w:type="spellStart"/>
      <w:r>
        <w:t>cybermenaces</w:t>
      </w:r>
      <w:proofErr w:type="spellEnd"/>
      <w:r>
        <w:t xml:space="preserve"> qui visent l</w:t>
      </w:r>
      <w:r w:rsidR="006433CF">
        <w:t>’</w:t>
      </w:r>
      <w:r>
        <w:t>infrastructure énergétique essentielle.</w:t>
      </w:r>
    </w:p>
    <w:p w:rsidR="003711AA" w:rsidRPr="00726809" w:rsidRDefault="003711AA" w:rsidP="006433CF">
      <w:pPr>
        <w:rPr>
          <w:rFonts w:cs="Arial"/>
        </w:rPr>
      </w:pPr>
    </w:p>
    <w:p w:rsidR="00B86FCB" w:rsidRPr="003711AA" w:rsidRDefault="003711AA" w:rsidP="006433CF">
      <w:pPr>
        <w:rPr>
          <w:rFonts w:cs="Arial"/>
        </w:rPr>
      </w:pPr>
      <w:r>
        <w:t>RNCan sera responsable du versement des fonds, de l</w:t>
      </w:r>
      <w:r w:rsidR="006433CF">
        <w:t>’</w:t>
      </w:r>
      <w:r>
        <w:t>administration des accords de contribution avec les bénéficiaires admissibles et de la surveillance du Programme et de la production de rapports dans le cadre de celui-ci. Dans le cadre de la prestation de ce Programme, RNCan s</w:t>
      </w:r>
      <w:r w:rsidR="006433CF">
        <w:t>’</w:t>
      </w:r>
      <w:r>
        <w:t>efforcera de communiquer avec les autres ministères et organismes gouvernementaux, afin d</w:t>
      </w:r>
      <w:r w:rsidR="006433CF">
        <w:t>’</w:t>
      </w:r>
      <w:r>
        <w:t>assurer la coordination et d</w:t>
      </w:r>
      <w:r w:rsidR="006433CF">
        <w:t>’</w:t>
      </w:r>
      <w:r>
        <w:t xml:space="preserve">éviter les dédoublements des initiatives de </w:t>
      </w:r>
      <w:r>
        <w:lastRenderedPageBreak/>
        <w:t>subventions et contributions axées sur la cybersécurité. Ces ministères et organismes comprennent Sécurité publique Canada, Innovation, Sciences et Développement économique Canada, Recherche et développement pour la défense Canada, le Conseil national de recherches et le Centre de la sécurité des télécommunications.</w:t>
      </w:r>
    </w:p>
    <w:p w:rsidR="0005201D" w:rsidRPr="009F349D" w:rsidRDefault="006D5A0D" w:rsidP="006433CF">
      <w:pPr>
        <w:pStyle w:val="Heading1"/>
      </w:pPr>
      <w:bookmarkStart w:id="7" w:name="_Toc1718647"/>
      <w:bookmarkStart w:id="8" w:name="_Toc483487988"/>
      <w:r>
        <w:t>Objectif du programme</w:t>
      </w:r>
      <w:bookmarkEnd w:id="7"/>
    </w:p>
    <w:p w:rsidR="006433CF" w:rsidRDefault="00B45934" w:rsidP="006433CF">
      <w:r>
        <w:t>L</w:t>
      </w:r>
      <w:r w:rsidR="006433CF">
        <w:t>’</w:t>
      </w:r>
      <w:r>
        <w:t>objectif du Programme de</w:t>
      </w:r>
      <w:r w:rsidR="00711E0E">
        <w:t xml:space="preserve"> la</w:t>
      </w:r>
      <w:r>
        <w:t xml:space="preserve"> cybersécurité et de l</w:t>
      </w:r>
      <w:r w:rsidR="006433CF">
        <w:t>’</w:t>
      </w:r>
      <w:r>
        <w:t>infrastructure énergétique essentielle est d</w:t>
      </w:r>
      <w:r w:rsidR="006433CF">
        <w:t>’</w:t>
      </w:r>
      <w:r>
        <w:t>améliorer la résilience de l</w:t>
      </w:r>
      <w:r w:rsidR="006433CF">
        <w:t>’</w:t>
      </w:r>
      <w:r>
        <w:t>infrastructure énergétique nationale et transfrontalière en renforçant la capacité du secteur de l</w:t>
      </w:r>
      <w:r w:rsidR="006433CF">
        <w:t>’</w:t>
      </w:r>
      <w:r>
        <w:t xml:space="preserve">énergie à </w:t>
      </w:r>
      <w:r>
        <w:rPr>
          <w:b/>
        </w:rPr>
        <w:t>prévenir</w:t>
      </w:r>
      <w:r>
        <w:t xml:space="preserve"> les </w:t>
      </w:r>
      <w:proofErr w:type="spellStart"/>
      <w:r>
        <w:t>cybermenaces</w:t>
      </w:r>
      <w:proofErr w:type="spellEnd"/>
      <w:r>
        <w:t>, à s</w:t>
      </w:r>
      <w:r w:rsidR="006433CF">
        <w:t>’</w:t>
      </w:r>
      <w:r>
        <w:t xml:space="preserve">y </w:t>
      </w:r>
      <w:r>
        <w:rPr>
          <w:b/>
        </w:rPr>
        <w:t>préparer</w:t>
      </w:r>
      <w:r>
        <w:t xml:space="preserve">, à </w:t>
      </w:r>
      <w:r>
        <w:rPr>
          <w:b/>
        </w:rPr>
        <w:t>intervenir</w:t>
      </w:r>
      <w:r>
        <w:t xml:space="preserve"> et à se </w:t>
      </w:r>
      <w:r>
        <w:rPr>
          <w:b/>
        </w:rPr>
        <w:t>rétablir</w:t>
      </w:r>
      <w:r>
        <w:t xml:space="preserve"> lorsqu</w:t>
      </w:r>
      <w:r w:rsidR="006433CF">
        <w:t>’</w:t>
      </w:r>
      <w:r>
        <w:t>elles se concrétisent.</w:t>
      </w:r>
    </w:p>
    <w:p w:rsidR="00BD7AB6" w:rsidRPr="009F349D" w:rsidRDefault="00BD7AB6" w:rsidP="006433CF">
      <w:pPr>
        <w:pStyle w:val="Heading1"/>
      </w:pPr>
      <w:bookmarkStart w:id="9" w:name="_Toc1718648"/>
      <w:r>
        <w:t>Résultats escomptés</w:t>
      </w:r>
      <w:bookmarkEnd w:id="9"/>
    </w:p>
    <w:p w:rsidR="00EE39AF" w:rsidRPr="009F349D" w:rsidRDefault="00EE39AF" w:rsidP="006433CF">
      <w:pPr>
        <w:rPr>
          <w:rFonts w:cs="Arial"/>
        </w:rPr>
      </w:pPr>
    </w:p>
    <w:p w:rsidR="00BE0F68" w:rsidRPr="009F349D" w:rsidRDefault="00BD7AB6" w:rsidP="006433CF">
      <w:pPr>
        <w:rPr>
          <w:rFonts w:cs="Arial"/>
        </w:rPr>
      </w:pPr>
      <w:r>
        <w:t>Les projets financés dans le cadre du Programme devraient permettre l</w:t>
      </w:r>
      <w:r w:rsidR="006433CF">
        <w:t>’</w:t>
      </w:r>
      <w:r>
        <w:t>atteinte des résultats suivants ou avoir les répercussions suivantes</w:t>
      </w:r>
      <w:r w:rsidR="006433CF">
        <w:t> :</w:t>
      </w:r>
    </w:p>
    <w:p w:rsidR="006433CF" w:rsidRDefault="006966FE" w:rsidP="006433CF">
      <w:pPr>
        <w:pStyle w:val="ListParagraph"/>
        <w:numPr>
          <w:ilvl w:val="0"/>
          <w:numId w:val="6"/>
        </w:numPr>
        <w:tabs>
          <w:tab w:val="clear" w:pos="709"/>
        </w:tabs>
        <w:spacing w:before="240"/>
        <w:ind w:left="714" w:hanging="357"/>
        <w:contextualSpacing/>
        <w:rPr>
          <w:color w:val="000000"/>
          <w:szCs w:val="22"/>
        </w:rPr>
      </w:pPr>
      <w:r>
        <w:rPr>
          <w:color w:val="000000"/>
          <w:szCs w:val="22"/>
        </w:rPr>
        <w:t>Hausse des activités de R et D qui contribuent à une infrastructure énergétique nationale et transfrontalière plus sécurisée et résiliente.</w:t>
      </w:r>
    </w:p>
    <w:p w:rsidR="00DE0379" w:rsidRPr="003711AA" w:rsidRDefault="006966FE" w:rsidP="006433CF">
      <w:pPr>
        <w:pStyle w:val="ListParagraph"/>
        <w:numPr>
          <w:ilvl w:val="0"/>
          <w:numId w:val="6"/>
        </w:numPr>
        <w:tabs>
          <w:tab w:val="clear" w:pos="709"/>
        </w:tabs>
        <w:spacing w:before="240"/>
        <w:ind w:left="714" w:hanging="357"/>
        <w:contextualSpacing/>
        <w:rPr>
          <w:rFonts w:cs="Arial"/>
          <w:color w:val="000000"/>
          <w:szCs w:val="22"/>
        </w:rPr>
      </w:pPr>
      <w:r>
        <w:rPr>
          <w:color w:val="000000"/>
          <w:szCs w:val="22"/>
        </w:rPr>
        <w:t xml:space="preserve">Connaissances collectives améliorées sur les </w:t>
      </w:r>
      <w:proofErr w:type="spellStart"/>
      <w:r>
        <w:rPr>
          <w:color w:val="000000"/>
          <w:szCs w:val="22"/>
        </w:rPr>
        <w:t>cybermenaces</w:t>
      </w:r>
      <w:proofErr w:type="spellEnd"/>
      <w:r>
        <w:rPr>
          <w:color w:val="000000"/>
          <w:szCs w:val="22"/>
        </w:rPr>
        <w:t xml:space="preserve"> à l</w:t>
      </w:r>
      <w:r w:rsidR="006433CF">
        <w:rPr>
          <w:color w:val="000000"/>
          <w:szCs w:val="22"/>
        </w:rPr>
        <w:t>’</w:t>
      </w:r>
      <w:r>
        <w:rPr>
          <w:color w:val="000000"/>
          <w:szCs w:val="22"/>
        </w:rPr>
        <w:t>infrastructure énergétique nationale et transfrontalière, y compris les stratégies d</w:t>
      </w:r>
      <w:r w:rsidR="006433CF">
        <w:rPr>
          <w:color w:val="000000"/>
          <w:szCs w:val="22"/>
        </w:rPr>
        <w:t>’</w:t>
      </w:r>
      <w:r>
        <w:rPr>
          <w:color w:val="000000"/>
          <w:szCs w:val="22"/>
        </w:rPr>
        <w:t>atténuation.</w:t>
      </w:r>
    </w:p>
    <w:p w:rsidR="00F47089" w:rsidRPr="009F349D" w:rsidRDefault="00EE39AF" w:rsidP="006433CF">
      <w:pPr>
        <w:pStyle w:val="Heading1"/>
      </w:pPr>
      <w:bookmarkStart w:id="10" w:name="_Toc1718649"/>
      <w:r>
        <w:t>Processus de présentation de demandes</w:t>
      </w:r>
      <w:bookmarkEnd w:id="3"/>
      <w:bookmarkEnd w:id="8"/>
      <w:bookmarkEnd w:id="10"/>
    </w:p>
    <w:p w:rsidR="00EE39AF" w:rsidRPr="009F349D" w:rsidRDefault="00EE39AF" w:rsidP="006433CF">
      <w:pPr>
        <w:rPr>
          <w:rFonts w:cs="Arial"/>
        </w:rPr>
      </w:pPr>
    </w:p>
    <w:p w:rsidR="009B07DD" w:rsidRPr="009F349D" w:rsidRDefault="0078268C" w:rsidP="006433CF">
      <w:pPr>
        <w:rPr>
          <w:rFonts w:cs="Arial"/>
          <w:szCs w:val="22"/>
        </w:rPr>
      </w:pPr>
      <w:r>
        <w:t>Le programme comprend les étapes de présentation d</w:t>
      </w:r>
      <w:r w:rsidR="006433CF">
        <w:t>’</w:t>
      </w:r>
      <w:r>
        <w:t>une demande suivantes</w:t>
      </w:r>
      <w:r w:rsidR="006433CF">
        <w:t> :</w:t>
      </w:r>
    </w:p>
    <w:p w:rsidR="00B45302" w:rsidRPr="009F349D" w:rsidRDefault="00B45302" w:rsidP="006433CF">
      <w:pPr>
        <w:keepNext/>
        <w:rPr>
          <w:rFonts w:cs="Arial"/>
        </w:rPr>
      </w:pPr>
    </w:p>
    <w:p w:rsidR="006433CF" w:rsidRDefault="00B45302" w:rsidP="006433CF">
      <w:pPr>
        <w:keepNext/>
      </w:pPr>
      <w:r>
        <w:t>(1) Présenter une proposition de projet</w:t>
      </w:r>
    </w:p>
    <w:p w:rsidR="00EC517D" w:rsidRDefault="0007153A" w:rsidP="006433CF">
      <w:pPr>
        <w:keepNext/>
        <w:rPr>
          <w:rFonts w:cs="Arial"/>
        </w:rPr>
      </w:pPr>
      <w:r>
        <w:t>(2) Assurer l</w:t>
      </w:r>
      <w:r w:rsidR="006433CF">
        <w:t>’</w:t>
      </w:r>
      <w:r>
        <w:t>admissibilité</w:t>
      </w:r>
    </w:p>
    <w:p w:rsidR="00EC517D" w:rsidRDefault="00EC517D" w:rsidP="006433CF">
      <w:pPr>
        <w:keepNext/>
        <w:rPr>
          <w:rFonts w:cs="Arial"/>
        </w:rPr>
      </w:pPr>
      <w:r>
        <w:t>(3) Évaluer les propositions</w:t>
      </w:r>
    </w:p>
    <w:p w:rsidR="00EC517D" w:rsidRDefault="00EC517D" w:rsidP="006433CF">
      <w:pPr>
        <w:keepNext/>
        <w:rPr>
          <w:rFonts w:cs="Arial"/>
        </w:rPr>
      </w:pPr>
      <w:r>
        <w:t>(4) Informer les demandeurs retenus</w:t>
      </w:r>
    </w:p>
    <w:p w:rsidR="00EC517D" w:rsidRDefault="00EC517D" w:rsidP="006433CF">
      <w:pPr>
        <w:keepNext/>
        <w:rPr>
          <w:rFonts w:cs="Arial"/>
        </w:rPr>
      </w:pPr>
      <w:r>
        <w:t>(5) Négocier un accord</w:t>
      </w:r>
    </w:p>
    <w:p w:rsidR="00EC517D" w:rsidRPr="009F349D" w:rsidRDefault="00EC517D" w:rsidP="006433CF">
      <w:pPr>
        <w:keepNext/>
        <w:rPr>
          <w:rFonts w:cs="Arial"/>
        </w:rPr>
      </w:pPr>
      <w:r>
        <w:t>(6) Approuver le financement et mettre à exécution l</w:t>
      </w:r>
      <w:r w:rsidR="006433CF">
        <w:t>’</w:t>
      </w:r>
      <w:r>
        <w:t>accord de contribution</w:t>
      </w:r>
    </w:p>
    <w:p w:rsidR="0001384D" w:rsidRPr="009F349D" w:rsidRDefault="0001384D" w:rsidP="006433CF">
      <w:pPr>
        <w:keepNext/>
        <w:rPr>
          <w:rFonts w:cs="Arial"/>
        </w:rPr>
      </w:pPr>
    </w:p>
    <w:p w:rsidR="006433CF" w:rsidRDefault="00DE0C1C" w:rsidP="006433CF">
      <w:pPr>
        <w:keepNext/>
      </w:pPr>
      <w:r>
        <w:t>RNCan prendra une décision définitive concernant les projets qui recevront des fonds, ainsi que le niveau de soutien offert dans le cadre de chaque projet.</w:t>
      </w:r>
    </w:p>
    <w:p w:rsidR="00DE0C1C" w:rsidRPr="009F349D" w:rsidRDefault="00DE0C1C" w:rsidP="006433CF">
      <w:pPr>
        <w:rPr>
          <w:rFonts w:cs="Arial"/>
        </w:rPr>
      </w:pPr>
    </w:p>
    <w:p w:rsidR="006433CF" w:rsidRDefault="00DE0C1C" w:rsidP="006433CF">
      <w:r>
        <w:t>Un demandeur peut retirer sa proposition, sans aucune pénalité, à toute étape du processus d</w:t>
      </w:r>
      <w:r w:rsidR="006433CF">
        <w:t>’</w:t>
      </w:r>
      <w:r>
        <w:t>évaluation, s</w:t>
      </w:r>
      <w:r w:rsidR="006433CF">
        <w:t>’</w:t>
      </w:r>
      <w:r>
        <w:t>il en informe le Ministère par écrit.</w:t>
      </w:r>
    </w:p>
    <w:p w:rsidR="000A15C4" w:rsidRPr="009F349D" w:rsidRDefault="000A15C4" w:rsidP="006433CF">
      <w:pPr>
        <w:rPr>
          <w:rFonts w:cs="Arial"/>
        </w:rPr>
      </w:pPr>
    </w:p>
    <w:p w:rsidR="000A15C4" w:rsidRPr="009F349D" w:rsidRDefault="000A15C4" w:rsidP="006433CF">
      <w:pPr>
        <w:rPr>
          <w:rFonts w:cs="Arial"/>
        </w:rPr>
      </w:pPr>
      <w:r>
        <w:t>Les étapes de la présentation et de l</w:t>
      </w:r>
      <w:r w:rsidR="006433CF">
        <w:t>’</w:t>
      </w:r>
      <w:r>
        <w:t>examen sont décrites plus amplement ci-dessous.</w:t>
      </w:r>
    </w:p>
    <w:p w:rsidR="00DE0C1C" w:rsidRPr="009F349D" w:rsidRDefault="00EF08F4" w:rsidP="006433CF">
      <w:pPr>
        <w:pStyle w:val="Heading2"/>
      </w:pPr>
      <w:bookmarkStart w:id="11" w:name="_Toc1718650"/>
      <w:bookmarkStart w:id="12" w:name="_Toc295427191"/>
      <w:r>
        <w:t>Processus d</w:t>
      </w:r>
      <w:r w:rsidR="006433CF">
        <w:t>’</w:t>
      </w:r>
      <w:r>
        <w:t>évaluation</w:t>
      </w:r>
      <w:bookmarkEnd w:id="11"/>
    </w:p>
    <w:bookmarkEnd w:id="12"/>
    <w:p w:rsidR="006433CF" w:rsidRDefault="00EF08F4" w:rsidP="006433CF">
      <w:r>
        <w:t>RNCan établira un comité d</w:t>
      </w:r>
      <w:r w:rsidR="006433CF">
        <w:t>’</w:t>
      </w:r>
      <w:r>
        <w:t>examen composé d</w:t>
      </w:r>
      <w:r w:rsidR="006433CF">
        <w:t>’</w:t>
      </w:r>
      <w:r>
        <w:t>experts qui sera formé de représentants possédant l</w:t>
      </w:r>
      <w:r w:rsidR="006433CF">
        <w:t>’</w:t>
      </w:r>
      <w:r>
        <w:t xml:space="preserve">expertise pertinente pour évaluer les projets et formuler des recommandations de financement. Les évaluations pourraient être appuyées par des évaluations techniques ou des examens menés par des tiers. Les représentants de RNCan, conformément aux pouvoirs </w:t>
      </w:r>
      <w:r>
        <w:lastRenderedPageBreak/>
        <w:t>d</w:t>
      </w:r>
      <w:r w:rsidR="006433CF">
        <w:t>’</w:t>
      </w:r>
      <w:r>
        <w:t>autorité délégués, tout en tenant compte des recommandations formulées par le comité, prendront les décisions définitives relativement au financement des projets.</w:t>
      </w:r>
    </w:p>
    <w:p w:rsidR="006433CF" w:rsidRDefault="00EF08F4" w:rsidP="006433CF">
      <w:pPr>
        <w:autoSpaceDE w:val="0"/>
        <w:autoSpaceDN w:val="0"/>
        <w:adjustRightInd w:val="0"/>
      </w:pPr>
      <w:r>
        <w:t>Voici une liste des facteurs à prendre en considération lors de l</w:t>
      </w:r>
      <w:r w:rsidR="006433CF">
        <w:t>’</w:t>
      </w:r>
      <w:r>
        <w:t>évaluation des propositions</w:t>
      </w:r>
      <w:r w:rsidR="006433CF">
        <w:t> :</w:t>
      </w:r>
    </w:p>
    <w:p w:rsidR="00EF08F4" w:rsidRPr="009F349D" w:rsidRDefault="00EF08F4" w:rsidP="006433CF">
      <w:pPr>
        <w:autoSpaceDE w:val="0"/>
        <w:autoSpaceDN w:val="0"/>
        <w:adjustRightInd w:val="0"/>
        <w:rPr>
          <w:rFonts w:cs="Arial"/>
        </w:rPr>
      </w:pPr>
    </w:p>
    <w:p w:rsidR="00EF08F4" w:rsidRPr="009F349D" w:rsidRDefault="00EF08F4" w:rsidP="006433CF">
      <w:pPr>
        <w:pStyle w:val="ListParagraph"/>
        <w:numPr>
          <w:ilvl w:val="0"/>
          <w:numId w:val="5"/>
        </w:numPr>
        <w:tabs>
          <w:tab w:val="clear" w:pos="709"/>
        </w:tabs>
        <w:autoSpaceDE w:val="0"/>
        <w:autoSpaceDN w:val="0"/>
        <w:adjustRightInd w:val="0"/>
        <w:spacing w:after="44"/>
        <w:ind w:left="714" w:hanging="357"/>
        <w:contextualSpacing/>
        <w:rPr>
          <w:rFonts w:cs="Arial"/>
        </w:rPr>
      </w:pPr>
      <w:r>
        <w:t>La démonstration d</w:t>
      </w:r>
      <w:r w:rsidR="006433CF">
        <w:t>’</w:t>
      </w:r>
      <w:r>
        <w:t>une contribution directe et importante aux résultats attendus du Programme décrits à la section 5;</w:t>
      </w:r>
    </w:p>
    <w:p w:rsidR="00EF08F4" w:rsidRPr="009F349D" w:rsidRDefault="00EF08F4" w:rsidP="006433CF">
      <w:pPr>
        <w:pStyle w:val="ListParagraph"/>
        <w:numPr>
          <w:ilvl w:val="0"/>
          <w:numId w:val="5"/>
        </w:numPr>
        <w:tabs>
          <w:tab w:val="clear" w:pos="709"/>
        </w:tabs>
        <w:autoSpaceDE w:val="0"/>
        <w:autoSpaceDN w:val="0"/>
        <w:adjustRightInd w:val="0"/>
        <w:spacing w:after="44"/>
        <w:ind w:left="714" w:hanging="357"/>
        <w:contextualSpacing/>
        <w:rPr>
          <w:rFonts w:cs="Arial"/>
        </w:rPr>
      </w:pPr>
      <w:r>
        <w:t>La mesure dans laquelle les activités proposées s</w:t>
      </w:r>
      <w:r w:rsidR="006433CF">
        <w:t>’</w:t>
      </w:r>
      <w:r>
        <w:t>harmonisent avec les objectifs gouvernementaux bilatéraux et nationaux ou les activités complémentaires à ces objectifs;</w:t>
      </w:r>
    </w:p>
    <w:p w:rsidR="00EF08F4" w:rsidRPr="009F349D" w:rsidRDefault="00EF08F4" w:rsidP="006433CF">
      <w:pPr>
        <w:pStyle w:val="ListParagraph"/>
        <w:numPr>
          <w:ilvl w:val="0"/>
          <w:numId w:val="5"/>
        </w:numPr>
        <w:tabs>
          <w:tab w:val="clear" w:pos="709"/>
        </w:tabs>
        <w:autoSpaceDE w:val="0"/>
        <w:autoSpaceDN w:val="0"/>
        <w:adjustRightInd w:val="0"/>
        <w:spacing w:after="44"/>
        <w:ind w:left="714" w:hanging="357"/>
        <w:contextualSpacing/>
        <w:rPr>
          <w:rFonts w:cs="Arial"/>
        </w:rPr>
      </w:pPr>
      <w:r>
        <w:t>La valeur de la proposition en ce qui a trait aux coûts et aux avantages pour RNCan et le secteur de l</w:t>
      </w:r>
      <w:r w:rsidR="006433CF">
        <w:t>’</w:t>
      </w:r>
      <w:r>
        <w:t>énergie;</w:t>
      </w:r>
    </w:p>
    <w:p w:rsidR="00EF08F4" w:rsidRPr="009F349D" w:rsidRDefault="00EF08F4" w:rsidP="006433CF">
      <w:pPr>
        <w:pStyle w:val="ListParagraph"/>
        <w:numPr>
          <w:ilvl w:val="0"/>
          <w:numId w:val="5"/>
        </w:numPr>
        <w:tabs>
          <w:tab w:val="clear" w:pos="709"/>
        </w:tabs>
        <w:autoSpaceDE w:val="0"/>
        <w:autoSpaceDN w:val="0"/>
        <w:adjustRightInd w:val="0"/>
        <w:spacing w:after="44"/>
        <w:ind w:left="714" w:hanging="357"/>
        <w:contextualSpacing/>
        <w:rPr>
          <w:rFonts w:cs="Arial"/>
        </w:rPr>
      </w:pPr>
      <w:r>
        <w:t>La démonstration de la capacité de gestion permettant d</w:t>
      </w:r>
      <w:r w:rsidR="006433CF">
        <w:t>’</w:t>
      </w:r>
      <w:r>
        <w:t>entreprendre le projet avec succès;</w:t>
      </w:r>
    </w:p>
    <w:p w:rsidR="00EF08F4" w:rsidRPr="009F349D" w:rsidRDefault="00EF08F4" w:rsidP="006433CF">
      <w:pPr>
        <w:pStyle w:val="ListParagraph"/>
        <w:numPr>
          <w:ilvl w:val="0"/>
          <w:numId w:val="5"/>
        </w:numPr>
        <w:tabs>
          <w:tab w:val="clear" w:pos="709"/>
        </w:tabs>
        <w:autoSpaceDE w:val="0"/>
        <w:autoSpaceDN w:val="0"/>
        <w:adjustRightInd w:val="0"/>
        <w:ind w:left="714" w:hanging="357"/>
        <w:contextualSpacing/>
        <w:rPr>
          <w:rFonts w:cs="Arial"/>
        </w:rPr>
      </w:pPr>
      <w:r>
        <w:t>L</w:t>
      </w:r>
      <w:r w:rsidR="006433CF">
        <w:t>’</w:t>
      </w:r>
      <w:r>
        <w:t>obtention d</w:t>
      </w:r>
      <w:r w:rsidR="006433CF">
        <w:t>’</w:t>
      </w:r>
      <w:r>
        <w:t>un financement d</w:t>
      </w:r>
      <w:r w:rsidR="006433CF">
        <w:t>’</w:t>
      </w:r>
      <w:r>
        <w:t>autres sources des secteurs public et privé;</w:t>
      </w:r>
    </w:p>
    <w:p w:rsidR="006433CF" w:rsidRDefault="00EF08F4" w:rsidP="006433CF">
      <w:pPr>
        <w:pStyle w:val="ListParagraph"/>
        <w:numPr>
          <w:ilvl w:val="0"/>
          <w:numId w:val="5"/>
        </w:numPr>
        <w:tabs>
          <w:tab w:val="clear" w:pos="709"/>
        </w:tabs>
        <w:autoSpaceDE w:val="0"/>
        <w:autoSpaceDN w:val="0"/>
        <w:adjustRightInd w:val="0"/>
        <w:ind w:left="714" w:hanging="357"/>
        <w:contextualSpacing/>
      </w:pPr>
      <w:r>
        <w:t>À moins que RNCan en ait décidé autrement, les parties se réuniront à une date convenue mutuellement, afin d</w:t>
      </w:r>
      <w:r w:rsidR="006433CF">
        <w:t>’</w:t>
      </w:r>
      <w:r>
        <w:t>examiner la proposition et de discuter de tout détail ou de tout point particulier d</w:t>
      </w:r>
      <w:r w:rsidR="006433CF">
        <w:t>’</w:t>
      </w:r>
      <w:r>
        <w:t>un projet toujours en suspens.</w:t>
      </w:r>
    </w:p>
    <w:p w:rsidR="00DE0C1C" w:rsidRPr="009F349D" w:rsidRDefault="00DE0C1C" w:rsidP="006433CF">
      <w:pPr>
        <w:pStyle w:val="Heading2"/>
      </w:pPr>
      <w:bookmarkStart w:id="13" w:name="_Toc483487995"/>
      <w:bookmarkStart w:id="14" w:name="_Toc1718651"/>
      <w:r>
        <w:t>Négociation d</w:t>
      </w:r>
      <w:r w:rsidR="006433CF">
        <w:t>’</w:t>
      </w:r>
      <w:r>
        <w:t>un accord de contribution</w:t>
      </w:r>
      <w:bookmarkEnd w:id="13"/>
      <w:bookmarkEnd w:id="14"/>
    </w:p>
    <w:p w:rsidR="006433CF" w:rsidRDefault="00DE0C1C" w:rsidP="006433CF">
      <w:r>
        <w:t>Tout financement visé dans le cadre de ce processus de présentation, d</w:t>
      </w:r>
      <w:r w:rsidR="006433CF">
        <w:t>’</w:t>
      </w:r>
      <w:r>
        <w:t>examen et d</w:t>
      </w:r>
      <w:r w:rsidR="006433CF">
        <w:t>’</w:t>
      </w:r>
      <w:r>
        <w:t>évaluation dépendra de la mise à exécution d</w:t>
      </w:r>
      <w:r w:rsidR="006433CF">
        <w:t>’</w:t>
      </w:r>
      <w:r>
        <w:t xml:space="preserve">un accord de contribution. </w:t>
      </w:r>
      <w:r>
        <w:rPr>
          <w:b/>
        </w:rPr>
        <w:t>Jusqu</w:t>
      </w:r>
      <w:r w:rsidR="006433CF">
        <w:rPr>
          <w:b/>
        </w:rPr>
        <w:t>’</w:t>
      </w:r>
      <w:r>
        <w:rPr>
          <w:b/>
        </w:rPr>
        <w:t>à ce qu</w:t>
      </w:r>
      <w:r w:rsidR="006433CF">
        <w:rPr>
          <w:b/>
        </w:rPr>
        <w:t>’</w:t>
      </w:r>
      <w:r>
        <w:rPr>
          <w:b/>
        </w:rPr>
        <w:t>un accord de contribution écrit soit signé par les deux parties, aucun engagement ni aucune obligation n</w:t>
      </w:r>
      <w:r w:rsidR="006433CF">
        <w:rPr>
          <w:b/>
        </w:rPr>
        <w:t>’</w:t>
      </w:r>
      <w:r>
        <w:rPr>
          <w:b/>
        </w:rPr>
        <w:t>existent de la part de RNCan de verser une contribution financière à un projet donné, y compris le remboursement de frais engagés ou assumés avant la signature d</w:t>
      </w:r>
      <w:r w:rsidR="006433CF">
        <w:rPr>
          <w:b/>
        </w:rPr>
        <w:t>’</w:t>
      </w:r>
      <w:r>
        <w:rPr>
          <w:b/>
        </w:rPr>
        <w:t>un tel accord de contribution.</w:t>
      </w:r>
    </w:p>
    <w:p w:rsidR="007C22A2" w:rsidRPr="009F349D" w:rsidRDefault="007C22A2" w:rsidP="006433CF">
      <w:pPr>
        <w:rPr>
          <w:rFonts w:cs="Arial"/>
        </w:rPr>
      </w:pPr>
    </w:p>
    <w:p w:rsidR="007C22A2" w:rsidRPr="009F349D" w:rsidRDefault="007C22A2" w:rsidP="006433CF">
      <w:pPr>
        <w:autoSpaceDE w:val="0"/>
        <w:autoSpaceDN w:val="0"/>
        <w:adjustRightInd w:val="0"/>
        <w:rPr>
          <w:rFonts w:cs="Arial"/>
        </w:rPr>
      </w:pPr>
      <w:r>
        <w:t>Avant la signature d</w:t>
      </w:r>
      <w:r w:rsidR="006433CF">
        <w:t>’</w:t>
      </w:r>
      <w:r>
        <w:t xml:space="preserve">un accord de contribution, le bénéficiaire doit </w:t>
      </w:r>
      <w:r>
        <w:rPr>
          <w:b/>
        </w:rPr>
        <w:t>divulguer toutes les sources prévues de financement</w:t>
      </w:r>
      <w:r>
        <w:t xml:space="preserve"> (canadiennes ou étrangères) du projet proposé, notamment les fonds en nature, et indiquer clairement les contributions provenant d</w:t>
      </w:r>
      <w:r w:rsidR="006433CF">
        <w:t>’</w:t>
      </w:r>
      <w:r>
        <w:t>autres sources publiques canadiennes (gouvernement fédéral, gouvernement provincial/territorial et municipalité).</w:t>
      </w:r>
    </w:p>
    <w:p w:rsidR="00611426" w:rsidRPr="009F349D" w:rsidRDefault="00611426" w:rsidP="006433CF">
      <w:pPr>
        <w:rPr>
          <w:rFonts w:cs="Arial"/>
        </w:rPr>
      </w:pPr>
    </w:p>
    <w:p w:rsidR="00DE0C1C" w:rsidRPr="009F349D" w:rsidRDefault="00051110" w:rsidP="006433CF">
      <w:pPr>
        <w:rPr>
          <w:rFonts w:cs="Arial"/>
        </w:rPr>
      </w:pPr>
      <w:r>
        <w:t>Davantage de renseignements sur les accords de contribution de RNCan seront fournis aux demandeurs retenus lorsqu</w:t>
      </w:r>
      <w:r w:rsidR="006433CF">
        <w:t>’</w:t>
      </w:r>
      <w:r>
        <w:t>ils auront reçu l</w:t>
      </w:r>
      <w:r w:rsidR="006433CF">
        <w:t>’</w:t>
      </w:r>
      <w:r>
        <w:t>avis concernant les résultats des propositions.</w:t>
      </w:r>
    </w:p>
    <w:p w:rsidR="000142E8" w:rsidRPr="009F349D" w:rsidRDefault="00643AC6" w:rsidP="006433CF">
      <w:pPr>
        <w:pStyle w:val="Heading2"/>
      </w:pPr>
      <w:r>
        <w:t xml:space="preserve"> </w:t>
      </w:r>
      <w:bookmarkStart w:id="15" w:name="_Toc1718652"/>
      <w:bookmarkStart w:id="16" w:name="_Toc483487996"/>
      <w:r>
        <w:t>Normes de service</w:t>
      </w:r>
      <w:bookmarkEnd w:id="15"/>
    </w:p>
    <w:p w:rsidR="006433CF" w:rsidRDefault="0006415B" w:rsidP="006433CF">
      <w:pPr>
        <w:tabs>
          <w:tab w:val="left" w:pos="0"/>
        </w:tabs>
      </w:pPr>
      <w:r>
        <w:t xml:space="preserve">RNCan maintient un ensemble de </w:t>
      </w:r>
      <w:hyperlink r:id="rId18" w:history="1">
        <w:r>
          <w:rPr>
            <w:rStyle w:val="Hyperlink"/>
          </w:rPr>
          <w:t>normes de service</w:t>
        </w:r>
      </w:hyperlink>
      <w:r>
        <w:t xml:space="preserve"> sur les délais attendus pour chaque étape de la prestation d</w:t>
      </w:r>
      <w:r w:rsidR="006433CF">
        <w:t>’</w:t>
      </w:r>
      <w:r>
        <w:t>un programme.</w:t>
      </w:r>
    </w:p>
    <w:p w:rsidR="00051110" w:rsidRPr="009F349D" w:rsidRDefault="00051110" w:rsidP="006433CF">
      <w:pPr>
        <w:pStyle w:val="Heading2"/>
      </w:pPr>
      <w:bookmarkStart w:id="17" w:name="_Toc1718653"/>
      <w:r>
        <w:t>Demandes concernant le programme</w:t>
      </w:r>
      <w:bookmarkEnd w:id="17"/>
    </w:p>
    <w:p w:rsidR="00A5336A" w:rsidRPr="003711AA" w:rsidRDefault="00051110" w:rsidP="006433CF">
      <w:pPr>
        <w:rPr>
          <w:rFonts w:cs="Arial"/>
          <w:szCs w:val="22"/>
        </w:rPr>
      </w:pPr>
      <w:r>
        <w:t>Afin de veiller à ce que tous les demandeurs aient accès aux mêmes renseignements et qu</w:t>
      </w:r>
      <w:r w:rsidR="006433CF">
        <w:t>’</w:t>
      </w:r>
      <w:r>
        <w:t>une réponse écrite soit préparée pour chaque question, il faut transmettre les questions à l</w:t>
      </w:r>
      <w:r w:rsidR="006433CF">
        <w:t>’</w:t>
      </w:r>
      <w:r>
        <w:t>adresse de courriel du Programme</w:t>
      </w:r>
      <w:r w:rsidR="006433CF">
        <w:t> :</w:t>
      </w:r>
      <w:r>
        <w:t xml:space="preserve"> </w:t>
      </w:r>
      <w:hyperlink r:id="rId19" w:history="1">
        <w:r w:rsidR="00196A17" w:rsidRPr="00C5701C">
          <w:rPr>
            <w:rStyle w:val="Hyperlink"/>
            <w:szCs w:val="22"/>
          </w:rPr>
          <w:t>nrcan.cceip-pciee.rncan@canada.ca</w:t>
        </w:r>
      </w:hyperlink>
      <w:r>
        <w:t>.</w:t>
      </w:r>
    </w:p>
    <w:p w:rsidR="00C77D23" w:rsidRPr="009F349D" w:rsidRDefault="00051110" w:rsidP="006433CF">
      <w:pPr>
        <w:pStyle w:val="Heading2"/>
      </w:pPr>
      <w:bookmarkStart w:id="18" w:name="_Toc1718654"/>
      <w:r>
        <w:lastRenderedPageBreak/>
        <w:t>Autres programmes de</w:t>
      </w:r>
      <w:bookmarkEnd w:id="16"/>
      <w:r>
        <w:t xml:space="preserve"> financement</w:t>
      </w:r>
      <w:bookmarkEnd w:id="18"/>
    </w:p>
    <w:p w:rsidR="006433CF" w:rsidRDefault="00051110" w:rsidP="006433CF">
      <w:r>
        <w:t>Les propositions transmises dans le cadre de ce Programme pourraient être partagées avec d</w:t>
      </w:r>
      <w:r w:rsidR="006433CF">
        <w:t>’</w:t>
      </w:r>
      <w:r>
        <w:t>autres programmes de financement du gouvernement auxquels elles correspondent mieux, sauf instruction contraire de la part des demandeurs dans leur proposition de projet.</w:t>
      </w:r>
    </w:p>
    <w:p w:rsidR="00EC517D" w:rsidRPr="00EC517D" w:rsidRDefault="00EC517D" w:rsidP="006433CF">
      <w:pPr>
        <w:pStyle w:val="Heading1"/>
      </w:pPr>
      <w:bookmarkStart w:id="19" w:name="_Toc1718655"/>
      <w:r>
        <w:t>Bénéficiaires admissibles</w:t>
      </w:r>
      <w:bookmarkEnd w:id="19"/>
    </w:p>
    <w:p w:rsidR="00EC517D" w:rsidRDefault="00EC517D" w:rsidP="006433CF">
      <w:pPr>
        <w:keepNext/>
        <w:keepLines/>
        <w:rPr>
          <w:rFonts w:cs="Arial"/>
        </w:rPr>
      </w:pPr>
      <w:bookmarkStart w:id="20" w:name="_Toc483487998"/>
      <w:bookmarkStart w:id="21" w:name="_Toc483488077"/>
      <w:bookmarkStart w:id="22" w:name="_Toc483488000"/>
      <w:bookmarkStart w:id="23" w:name="_Toc483488079"/>
      <w:bookmarkStart w:id="24" w:name="_Toc483488002"/>
      <w:bookmarkStart w:id="25" w:name="_Toc483488081"/>
      <w:bookmarkStart w:id="26" w:name="_Toc483488004"/>
      <w:bookmarkStart w:id="27" w:name="_Toc483488083"/>
      <w:bookmarkStart w:id="28" w:name="_Toc483488006"/>
      <w:bookmarkStart w:id="29" w:name="_Toc483488085"/>
      <w:bookmarkStart w:id="30" w:name="_Toc483488009"/>
      <w:bookmarkStart w:id="31" w:name="_Toc483488088"/>
      <w:bookmarkStart w:id="32" w:name="_Toc483488011"/>
      <w:bookmarkStart w:id="33" w:name="_Toc483488090"/>
      <w:bookmarkStart w:id="34" w:name="_Toc483488013"/>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9F2D6B" w:rsidRPr="009F349D" w:rsidRDefault="00FB5D10" w:rsidP="006433CF">
      <w:pPr>
        <w:keepNext/>
        <w:keepLines/>
        <w:rPr>
          <w:rFonts w:cs="Arial"/>
        </w:rPr>
      </w:pPr>
      <w:r>
        <w:t>Parmi les bénéficiaires admissibles, il y a les suivants</w:t>
      </w:r>
      <w:r w:rsidR="006433CF">
        <w:t> :</w:t>
      </w:r>
    </w:p>
    <w:p w:rsidR="006D5A0D" w:rsidRPr="009F349D" w:rsidRDefault="006D5A0D" w:rsidP="006433CF">
      <w:pPr>
        <w:keepNext/>
        <w:keepLines/>
        <w:rPr>
          <w:rFonts w:cs="Arial"/>
        </w:rPr>
      </w:pPr>
    </w:p>
    <w:p w:rsidR="006433CF" w:rsidRDefault="0029332D" w:rsidP="006433CF">
      <w:pPr>
        <w:pStyle w:val="ListParagraph"/>
        <w:keepNext/>
        <w:keepLines/>
        <w:numPr>
          <w:ilvl w:val="0"/>
          <w:numId w:val="10"/>
        </w:numPr>
      </w:pPr>
      <w:r>
        <w:t>Des individus et personnes morales dûment constituées en société ou enregistrées au Canada, y compris des organisations à but lucratif et à but non lucratif ou des entreprises; des associations de l</w:t>
      </w:r>
      <w:r w:rsidR="006433CF">
        <w:t>’</w:t>
      </w:r>
      <w:r>
        <w:t>industrie, des universités, des associations de recherche; et des chercheurs et professionnels du domaine de la cybersécurité et de l</w:t>
      </w:r>
      <w:r w:rsidR="006433CF">
        <w:t>’</w:t>
      </w:r>
      <w:r>
        <w:t>infrastructure essentielle.</w:t>
      </w:r>
    </w:p>
    <w:p w:rsidR="00B21A01" w:rsidRPr="009F349D" w:rsidRDefault="00B21A01" w:rsidP="006433CF">
      <w:pPr>
        <w:pStyle w:val="ListParagraph"/>
        <w:keepNext/>
        <w:keepLines/>
        <w:numPr>
          <w:ilvl w:val="0"/>
          <w:numId w:val="0"/>
        </w:numPr>
        <w:ind w:left="720"/>
        <w:rPr>
          <w:rFonts w:cs="Arial"/>
        </w:rPr>
      </w:pPr>
    </w:p>
    <w:p w:rsidR="00B21A01" w:rsidRPr="009F349D" w:rsidRDefault="0029332D" w:rsidP="006433CF">
      <w:pPr>
        <w:pStyle w:val="ListParagraph"/>
        <w:keepNext/>
        <w:keepLines/>
        <w:numPr>
          <w:ilvl w:val="0"/>
          <w:numId w:val="10"/>
        </w:numPr>
        <w:rPr>
          <w:rFonts w:cs="Arial"/>
        </w:rPr>
      </w:pPr>
      <w:r>
        <w:t>Les bénéficiaires internationaux, y compris les organisations à but non lucratif, comme les associations de l</w:t>
      </w:r>
      <w:r w:rsidR="006433CF">
        <w:t>’</w:t>
      </w:r>
      <w:r>
        <w:t>industrie, les organismes, les associations de recherche dûment constituées en société ou enregistrées à l</w:t>
      </w:r>
      <w:r w:rsidR="006433CF">
        <w:t>’</w:t>
      </w:r>
      <w:r>
        <w:t>étranger.</w:t>
      </w:r>
    </w:p>
    <w:p w:rsidR="00B21A01" w:rsidRPr="009F349D" w:rsidRDefault="00B21A01" w:rsidP="006433CF">
      <w:pPr>
        <w:pStyle w:val="ListParagraph"/>
        <w:numPr>
          <w:ilvl w:val="0"/>
          <w:numId w:val="0"/>
        </w:numPr>
        <w:ind w:left="720"/>
        <w:rPr>
          <w:rFonts w:cs="Arial"/>
        </w:rPr>
      </w:pPr>
    </w:p>
    <w:p w:rsidR="003711AA" w:rsidRPr="0014046B" w:rsidRDefault="0029332D" w:rsidP="0014046B">
      <w:pPr>
        <w:pStyle w:val="ListParagraph"/>
        <w:keepNext/>
        <w:keepLines/>
        <w:numPr>
          <w:ilvl w:val="0"/>
          <w:numId w:val="10"/>
        </w:numPr>
      </w:pPr>
      <w:r>
        <w:t>Les administrations provinciales, territoriales, régionales et municipales, et leurs ministères et organismes le cas échéant.</w:t>
      </w:r>
    </w:p>
    <w:p w:rsidR="003711AA" w:rsidRDefault="003711AA" w:rsidP="006433CF">
      <w:pPr>
        <w:pStyle w:val="Heading1"/>
      </w:pPr>
      <w:bookmarkStart w:id="35" w:name="_Toc1718656"/>
      <w:r>
        <w:t>Activités admissibles</w:t>
      </w:r>
      <w:bookmarkEnd w:id="35"/>
    </w:p>
    <w:p w:rsidR="003711AA" w:rsidRPr="00EC517D" w:rsidRDefault="003711AA" w:rsidP="006433CF"/>
    <w:p w:rsidR="003711AA" w:rsidRPr="009F349D" w:rsidRDefault="003711AA" w:rsidP="006433CF">
      <w:pPr>
        <w:keepNext/>
        <w:keepLines/>
        <w:rPr>
          <w:rFonts w:cs="Arial"/>
        </w:rPr>
      </w:pPr>
      <w:r>
        <w:t>Les projets financés dans le cadre de ce Programme cherchent à accroître la capacité du secteur de l</w:t>
      </w:r>
      <w:r w:rsidR="006433CF">
        <w:t>’</w:t>
      </w:r>
      <w:r>
        <w:t xml:space="preserve">énergie à </w:t>
      </w:r>
      <w:r>
        <w:rPr>
          <w:b/>
        </w:rPr>
        <w:t>prévenir</w:t>
      </w:r>
      <w:r>
        <w:t xml:space="preserve"> les </w:t>
      </w:r>
      <w:proofErr w:type="spellStart"/>
      <w:r>
        <w:t>cybermenaces</w:t>
      </w:r>
      <w:proofErr w:type="spellEnd"/>
      <w:r>
        <w:t>, à s</w:t>
      </w:r>
      <w:r w:rsidR="006433CF">
        <w:t>’</w:t>
      </w:r>
      <w:r>
        <w:t xml:space="preserve">y </w:t>
      </w:r>
      <w:r>
        <w:rPr>
          <w:b/>
        </w:rPr>
        <w:t>préparer</w:t>
      </w:r>
      <w:r>
        <w:t xml:space="preserve">, à </w:t>
      </w:r>
      <w:r>
        <w:rPr>
          <w:b/>
        </w:rPr>
        <w:t>intervenir</w:t>
      </w:r>
      <w:r>
        <w:t xml:space="preserve"> et à se </w:t>
      </w:r>
      <w:r>
        <w:rPr>
          <w:b/>
        </w:rPr>
        <w:t>rétablir</w:t>
      </w:r>
      <w:r>
        <w:t xml:space="preserve"> lorsqu</w:t>
      </w:r>
      <w:r w:rsidR="006433CF">
        <w:t>’</w:t>
      </w:r>
      <w:r>
        <w:t>elles se concrétisent.</w:t>
      </w:r>
    </w:p>
    <w:p w:rsidR="003711AA" w:rsidRPr="009F349D" w:rsidRDefault="003711AA" w:rsidP="006433CF">
      <w:pPr>
        <w:keepNext/>
        <w:keepLines/>
        <w:rPr>
          <w:rFonts w:cs="Arial"/>
        </w:rPr>
      </w:pPr>
    </w:p>
    <w:p w:rsidR="003711AA" w:rsidRPr="009F349D" w:rsidRDefault="003711AA" w:rsidP="006433CF">
      <w:pPr>
        <w:keepNext/>
        <w:keepLines/>
        <w:rPr>
          <w:rFonts w:cs="Arial"/>
          <w:color w:val="333333"/>
          <w:szCs w:val="22"/>
        </w:rPr>
      </w:pPr>
      <w:r>
        <w:rPr>
          <w:color w:val="333333"/>
          <w:szCs w:val="22"/>
        </w:rPr>
        <w:t>Parmi les activités admissibles à un soutien, il y a les suivantes</w:t>
      </w:r>
      <w:r w:rsidR="006433CF">
        <w:rPr>
          <w:color w:val="333333"/>
          <w:szCs w:val="22"/>
        </w:rPr>
        <w:t> :</w:t>
      </w:r>
    </w:p>
    <w:p w:rsidR="003711AA" w:rsidRPr="00537071" w:rsidRDefault="003711AA" w:rsidP="006433CF">
      <w:pPr>
        <w:keepNext/>
        <w:keepLines/>
        <w:rPr>
          <w:rFonts w:cs="Arial"/>
          <w:szCs w:val="22"/>
        </w:rPr>
      </w:pPr>
    </w:p>
    <w:p w:rsidR="006433CF" w:rsidRDefault="003711AA" w:rsidP="006433CF">
      <w:pPr>
        <w:pStyle w:val="ListParagraph"/>
        <w:keepNext/>
        <w:keepLines/>
        <w:numPr>
          <w:ilvl w:val="0"/>
          <w:numId w:val="10"/>
        </w:numPr>
      </w:pPr>
      <w:r>
        <w:rPr>
          <w:b/>
        </w:rPr>
        <w:t>Recherche et développement</w:t>
      </w:r>
      <w:r w:rsidR="006433CF">
        <w:rPr>
          <w:b/>
        </w:rPr>
        <w:t> :</w:t>
      </w:r>
      <w:r>
        <w:rPr>
          <w:b/>
        </w:rPr>
        <w:t xml:space="preserve"> </w:t>
      </w:r>
      <w:r>
        <w:t>Activités qui permettent d</w:t>
      </w:r>
      <w:r w:rsidR="006433CF">
        <w:t>’</w:t>
      </w:r>
      <w:r>
        <w:t>assurer une infrastructure énergétique nationale et transfrontalière plus sécuritaire et résiliente, comme des études sur les interdépendances, la gestion des chaînes d</w:t>
      </w:r>
      <w:r w:rsidR="006433CF">
        <w:t>’</w:t>
      </w:r>
      <w:r>
        <w:t>approvisionnement et les menaces émergentes à la cybersécurité.</w:t>
      </w:r>
    </w:p>
    <w:p w:rsidR="003711AA" w:rsidRPr="009F349D" w:rsidRDefault="003711AA" w:rsidP="006433CF">
      <w:pPr>
        <w:pStyle w:val="ListParagraph"/>
        <w:keepNext/>
        <w:keepLines/>
        <w:numPr>
          <w:ilvl w:val="0"/>
          <w:numId w:val="0"/>
        </w:numPr>
        <w:ind w:left="720"/>
        <w:rPr>
          <w:rFonts w:cs="Arial"/>
        </w:rPr>
      </w:pPr>
    </w:p>
    <w:p w:rsidR="006433CF" w:rsidRDefault="003711AA" w:rsidP="006433CF">
      <w:pPr>
        <w:pStyle w:val="ListParagraph"/>
        <w:keepNext/>
        <w:keepLines/>
        <w:numPr>
          <w:ilvl w:val="0"/>
          <w:numId w:val="10"/>
        </w:numPr>
      </w:pPr>
      <w:r>
        <w:rPr>
          <w:b/>
        </w:rPr>
        <w:t>Partage des connaissances et de l</w:t>
      </w:r>
      <w:r w:rsidR="006433CF">
        <w:rPr>
          <w:b/>
        </w:rPr>
        <w:t>’</w:t>
      </w:r>
      <w:r>
        <w:rPr>
          <w:b/>
        </w:rPr>
        <w:t>expertise</w:t>
      </w:r>
      <w:r w:rsidR="006433CF">
        <w:t> :</w:t>
      </w:r>
      <w:r>
        <w:t xml:space="preserve"> Activités qui permettent de développer et de renforcer les connaissances collectives sur la façon de lutter contre les </w:t>
      </w:r>
      <w:proofErr w:type="spellStart"/>
      <w:r>
        <w:t>cybermenaces</w:t>
      </w:r>
      <w:proofErr w:type="spellEnd"/>
      <w:r>
        <w:t xml:space="preserve"> à l</w:t>
      </w:r>
      <w:r w:rsidR="006433CF">
        <w:t>’</w:t>
      </w:r>
      <w:r>
        <w:t>infrastructure énergétique nationale et transfrontalière comme des ateliers, des formations et des séances d</w:t>
      </w:r>
      <w:r w:rsidR="006433CF">
        <w:t>’</w:t>
      </w:r>
      <w:r>
        <w:t>information techniques.</w:t>
      </w:r>
    </w:p>
    <w:p w:rsidR="003711AA" w:rsidRPr="009F349D" w:rsidRDefault="003711AA" w:rsidP="006433CF">
      <w:pPr>
        <w:pStyle w:val="ListParagraph"/>
        <w:numPr>
          <w:ilvl w:val="0"/>
          <w:numId w:val="0"/>
        </w:numPr>
        <w:ind w:left="720"/>
        <w:rPr>
          <w:rFonts w:cs="Arial"/>
          <w:b/>
          <w:szCs w:val="22"/>
        </w:rPr>
      </w:pPr>
    </w:p>
    <w:p w:rsidR="003711AA" w:rsidRPr="003711AA" w:rsidRDefault="003711AA" w:rsidP="006433CF">
      <w:pPr>
        <w:pStyle w:val="ListParagraph"/>
        <w:keepNext/>
        <w:keepLines/>
        <w:numPr>
          <w:ilvl w:val="0"/>
          <w:numId w:val="10"/>
        </w:numPr>
        <w:rPr>
          <w:rFonts w:cs="Arial"/>
        </w:rPr>
      </w:pPr>
      <w:r>
        <w:rPr>
          <w:b/>
          <w:szCs w:val="22"/>
        </w:rPr>
        <w:lastRenderedPageBreak/>
        <w:t>Normes, pratiques exemplaires et lignes directrices</w:t>
      </w:r>
      <w:r w:rsidR="006433CF">
        <w:rPr>
          <w:b/>
          <w:szCs w:val="22"/>
        </w:rPr>
        <w:t> :</w:t>
      </w:r>
      <w:r>
        <w:t xml:space="preserve"> Activités qui font avancer l</w:t>
      </w:r>
      <w:r w:rsidR="006433CF">
        <w:t>’</w:t>
      </w:r>
      <w:r>
        <w:t>élaboration de normes, de pratiques exemplaires et de lignes directrices liées à la cybersécurité dans le secteur de l</w:t>
      </w:r>
      <w:r w:rsidR="006433CF">
        <w:t>’</w:t>
      </w:r>
      <w:r>
        <w:t>énergie.</w:t>
      </w:r>
    </w:p>
    <w:p w:rsidR="000A4DC4" w:rsidRPr="009F349D" w:rsidRDefault="000A4DC4" w:rsidP="006433CF">
      <w:pPr>
        <w:pStyle w:val="Heading1"/>
      </w:pPr>
      <w:bookmarkStart w:id="36" w:name="_Toc1718657"/>
      <w:r>
        <w:t>Financement</w:t>
      </w:r>
      <w:bookmarkEnd w:id="36"/>
    </w:p>
    <w:p w:rsidR="006433CF" w:rsidRDefault="000A4DC4" w:rsidP="006433CF">
      <w:pPr>
        <w:pStyle w:val="Heading2"/>
      </w:pPr>
      <w:bookmarkStart w:id="37" w:name="_Toc483488022"/>
      <w:bookmarkStart w:id="38" w:name="_Toc1718658"/>
      <w:r>
        <w:t>Calendrier du financement</w:t>
      </w:r>
      <w:bookmarkEnd w:id="37"/>
      <w:bookmarkEnd w:id="38"/>
    </w:p>
    <w:p w:rsidR="006433CF" w:rsidRDefault="00B31C44" w:rsidP="006433CF">
      <w:pPr>
        <w:autoSpaceDE w:val="0"/>
        <w:autoSpaceDN w:val="0"/>
        <w:adjustRightInd w:val="0"/>
        <w:rPr>
          <w:b/>
          <w:bCs/>
          <w:color w:val="333333"/>
          <w:szCs w:val="22"/>
        </w:rPr>
      </w:pPr>
      <w:r>
        <w:rPr>
          <w:color w:val="333333"/>
          <w:szCs w:val="22"/>
        </w:rPr>
        <w:t>Ce Programme prend fin le 31 mars 2023.</w:t>
      </w:r>
    </w:p>
    <w:p w:rsidR="00B31C44" w:rsidRPr="00726809" w:rsidRDefault="00B31C44" w:rsidP="006433CF">
      <w:pPr>
        <w:autoSpaceDE w:val="0"/>
        <w:autoSpaceDN w:val="0"/>
        <w:adjustRightInd w:val="0"/>
        <w:rPr>
          <w:rFonts w:cs="Arial"/>
          <w:b/>
          <w:bCs/>
          <w:color w:val="333333"/>
          <w:szCs w:val="22"/>
          <w:lang w:eastAsia="en-CA"/>
        </w:rPr>
      </w:pPr>
    </w:p>
    <w:p w:rsidR="006433CF" w:rsidRDefault="00781263" w:rsidP="006433CF">
      <w:pPr>
        <w:autoSpaceDE w:val="0"/>
        <w:autoSpaceDN w:val="0"/>
        <w:adjustRightInd w:val="0"/>
        <w:rPr>
          <w:color w:val="333333"/>
          <w:szCs w:val="22"/>
        </w:rPr>
      </w:pPr>
      <w:r>
        <w:rPr>
          <w:b/>
          <w:bCs/>
          <w:color w:val="333333"/>
          <w:szCs w:val="22"/>
        </w:rPr>
        <w:t>Toute dépense engagée avant la signature d</w:t>
      </w:r>
      <w:r w:rsidR="006433CF">
        <w:rPr>
          <w:b/>
          <w:bCs/>
          <w:color w:val="333333"/>
          <w:szCs w:val="22"/>
        </w:rPr>
        <w:t>’</w:t>
      </w:r>
      <w:r>
        <w:rPr>
          <w:b/>
          <w:bCs/>
          <w:color w:val="333333"/>
          <w:szCs w:val="22"/>
        </w:rPr>
        <w:t xml:space="preserve">un accord de contribution ne fera pas partie du coût total admissible du projet </w:t>
      </w:r>
      <w:r>
        <w:rPr>
          <w:color w:val="333333"/>
          <w:szCs w:val="22"/>
        </w:rPr>
        <w:t>pris en considération par le Programme et doit donc être exclue des tableaux des coûts compris dans la proposition de projet (même si elle peut être ajoutée au contexte et aux renseignements à l</w:t>
      </w:r>
      <w:r w:rsidR="006433CF">
        <w:rPr>
          <w:color w:val="333333"/>
          <w:szCs w:val="22"/>
        </w:rPr>
        <w:t>’</w:t>
      </w:r>
      <w:r>
        <w:rPr>
          <w:color w:val="333333"/>
          <w:szCs w:val="22"/>
        </w:rPr>
        <w:t>appui).</w:t>
      </w:r>
    </w:p>
    <w:p w:rsidR="005D3FFD" w:rsidRPr="00726809" w:rsidRDefault="005D3FFD" w:rsidP="006433CF">
      <w:pPr>
        <w:autoSpaceDE w:val="0"/>
        <w:autoSpaceDN w:val="0"/>
        <w:adjustRightInd w:val="0"/>
        <w:rPr>
          <w:rFonts w:cs="Arial"/>
          <w:color w:val="333333"/>
          <w:szCs w:val="22"/>
          <w:lang w:eastAsia="en-CA"/>
        </w:rPr>
      </w:pPr>
    </w:p>
    <w:p w:rsidR="006433CF" w:rsidRDefault="00781263" w:rsidP="006433CF">
      <w:pPr>
        <w:autoSpaceDE w:val="0"/>
        <w:autoSpaceDN w:val="0"/>
        <w:adjustRightInd w:val="0"/>
        <w:rPr>
          <w:color w:val="333333"/>
          <w:szCs w:val="22"/>
        </w:rPr>
      </w:pPr>
      <w:r>
        <w:rPr>
          <w:color w:val="333333"/>
          <w:szCs w:val="22"/>
        </w:rPr>
        <w:t>Jusqu</w:t>
      </w:r>
      <w:r w:rsidR="006433CF">
        <w:rPr>
          <w:color w:val="333333"/>
          <w:szCs w:val="22"/>
        </w:rPr>
        <w:t>’</w:t>
      </w:r>
      <w:r>
        <w:rPr>
          <w:color w:val="333333"/>
          <w:szCs w:val="22"/>
        </w:rPr>
        <w:t>à ce qu</w:t>
      </w:r>
      <w:r w:rsidR="006433CF">
        <w:rPr>
          <w:color w:val="333333"/>
          <w:szCs w:val="22"/>
        </w:rPr>
        <w:t>’</w:t>
      </w:r>
      <w:r>
        <w:rPr>
          <w:color w:val="333333"/>
          <w:szCs w:val="22"/>
        </w:rPr>
        <w:t xml:space="preserve">un accord de contribution écrit soit signé par les deux parties, </w:t>
      </w:r>
      <w:r>
        <w:rPr>
          <w:b/>
          <w:color w:val="333333"/>
          <w:szCs w:val="22"/>
        </w:rPr>
        <w:t>aucun engagement ni aucune obligation n</w:t>
      </w:r>
      <w:r w:rsidR="006433CF">
        <w:rPr>
          <w:b/>
          <w:color w:val="333333"/>
          <w:szCs w:val="22"/>
        </w:rPr>
        <w:t>’</w:t>
      </w:r>
      <w:r>
        <w:rPr>
          <w:b/>
          <w:color w:val="333333"/>
          <w:szCs w:val="22"/>
        </w:rPr>
        <w:t>existent de la part de RNCan de verser une contribution financière à un projet donné</w:t>
      </w:r>
      <w:r>
        <w:rPr>
          <w:color w:val="333333"/>
          <w:szCs w:val="22"/>
        </w:rPr>
        <w:t>, y compris le remboursement de coûts engagés ou assumés avant la signature d</w:t>
      </w:r>
      <w:r w:rsidR="006433CF">
        <w:rPr>
          <w:color w:val="333333"/>
          <w:szCs w:val="22"/>
        </w:rPr>
        <w:t>’</w:t>
      </w:r>
      <w:r>
        <w:rPr>
          <w:color w:val="333333"/>
          <w:szCs w:val="22"/>
        </w:rPr>
        <w:t>un tel accord de contribution.</w:t>
      </w:r>
    </w:p>
    <w:p w:rsidR="00537071" w:rsidRPr="009F349D" w:rsidRDefault="00537071" w:rsidP="006433CF">
      <w:pPr>
        <w:pStyle w:val="Heading2"/>
      </w:pPr>
      <w:bookmarkStart w:id="39" w:name="_Toc1718659"/>
      <w:r>
        <w:t>Limites du financement</w:t>
      </w:r>
      <w:bookmarkEnd w:id="39"/>
    </w:p>
    <w:p w:rsidR="006433CF" w:rsidRDefault="00EC517D" w:rsidP="006433CF">
      <w:r>
        <w:t>Le financement annuel moyen maximum permis dans le cadre de ce Programme est fixé à 484 000 $. Les niveaux de financement sont les plus élevés au cours de la première année, et diminuent au cours de chaque année subséquente.</w:t>
      </w:r>
    </w:p>
    <w:p w:rsidR="009F349D" w:rsidRPr="00726809" w:rsidRDefault="009F349D" w:rsidP="006433CF">
      <w:pPr>
        <w:rPr>
          <w:rFonts w:cs="Arial"/>
          <w:b/>
          <w:color w:val="333333"/>
          <w:szCs w:val="22"/>
          <w:lang w:eastAsia="en-CA"/>
        </w:rPr>
      </w:pPr>
    </w:p>
    <w:p w:rsidR="00537071" w:rsidRPr="00B31C44" w:rsidRDefault="00537071" w:rsidP="006433CF">
      <w:pPr>
        <w:rPr>
          <w:rFonts w:eastAsiaTheme="minorHAnsi" w:cs="Arial"/>
          <w:szCs w:val="22"/>
        </w:rPr>
      </w:pPr>
      <w:r>
        <w:t>Les projets pluriannuels peuvent être financés en fonction des critères et des cycles du Programme, et de la durée des modalités du Programme.</w:t>
      </w:r>
    </w:p>
    <w:p w:rsidR="00303FDB" w:rsidRPr="009F349D" w:rsidRDefault="00F015C2" w:rsidP="006433CF">
      <w:pPr>
        <w:pStyle w:val="Heading2"/>
      </w:pPr>
      <w:bookmarkStart w:id="40" w:name="_Toc1718660"/>
      <w:r>
        <w:t>Limite du cumul</w:t>
      </w:r>
      <w:bookmarkEnd w:id="40"/>
    </w:p>
    <w:p w:rsidR="00EC517D" w:rsidRDefault="005D3FFD" w:rsidP="006433CF">
      <w:pPr>
        <w:autoSpaceDE w:val="0"/>
        <w:autoSpaceDN w:val="0"/>
        <w:adjustRightInd w:val="0"/>
        <w:rPr>
          <w:rFonts w:cs="Arial"/>
        </w:rPr>
      </w:pPr>
      <w:r>
        <w:t>La contribution maximale totale du gouvernement canadien (fédéral, provincial, territorial, régional et municipal) est établie à 75 % des coûts totaux du projet pour les organisations à but lucratif et à un maximum de 100 % des coûts totaux du projet pour tous les autres bénéficiaires admissibles.</w:t>
      </w:r>
    </w:p>
    <w:p w:rsidR="005D3FFD" w:rsidRDefault="005D3FFD" w:rsidP="006433CF">
      <w:pPr>
        <w:autoSpaceDE w:val="0"/>
        <w:autoSpaceDN w:val="0"/>
        <w:adjustRightInd w:val="0"/>
        <w:rPr>
          <w:rFonts w:cs="Arial"/>
        </w:rPr>
      </w:pPr>
    </w:p>
    <w:p w:rsidR="00EC517D" w:rsidRPr="00EC517D" w:rsidRDefault="000C0F78" w:rsidP="006433CF">
      <w:pPr>
        <w:autoSpaceDE w:val="0"/>
        <w:autoSpaceDN w:val="0"/>
        <w:adjustRightInd w:val="0"/>
        <w:rPr>
          <w:rFonts w:cs="Arial"/>
        </w:rPr>
      </w:pPr>
      <w:r>
        <w:t>Les organisations à but lucratif doivent veiller à ce qu</w:t>
      </w:r>
      <w:r w:rsidR="006433CF">
        <w:t>’</w:t>
      </w:r>
      <w:r>
        <w:t>un minimum de 25 % du financement du coût total du projet vienne de sources autres que le gouvernement canadien (municipal, provincial, territorial, régional et fédéral). Cette limite de cumul doit être respectée lorsqu</w:t>
      </w:r>
      <w:r w:rsidR="006433CF">
        <w:t>’</w:t>
      </w:r>
      <w:r>
        <w:t>une aide est fournie. Dans l</w:t>
      </w:r>
      <w:r w:rsidR="006433CF">
        <w:t>’</w:t>
      </w:r>
      <w:r>
        <w:t>éventualité où l</w:t>
      </w:r>
      <w:r w:rsidR="006433CF">
        <w:t>’</w:t>
      </w:r>
      <w:r>
        <w:t>aide gouvernementale totale réelle fournie à un bénéficiaire dépasse les dépenses admissibles, RNCan ajustera son niveau de contribution (et cherchera à obtenir un remboursement, au besoin) afin que la limite du cumul ne soit pas dépassée.</w:t>
      </w:r>
    </w:p>
    <w:p w:rsidR="00976B75" w:rsidRPr="009F349D" w:rsidRDefault="00976B75" w:rsidP="006433CF">
      <w:pPr>
        <w:autoSpaceDE w:val="0"/>
        <w:autoSpaceDN w:val="0"/>
        <w:adjustRightInd w:val="0"/>
        <w:rPr>
          <w:rFonts w:cs="Arial"/>
        </w:rPr>
      </w:pPr>
    </w:p>
    <w:p w:rsidR="000C0F78" w:rsidRPr="009F349D" w:rsidRDefault="000C0F78" w:rsidP="006433CF">
      <w:pPr>
        <w:autoSpaceDE w:val="0"/>
        <w:autoSpaceDN w:val="0"/>
        <w:adjustRightInd w:val="0"/>
        <w:rPr>
          <w:rFonts w:cs="Arial"/>
        </w:rPr>
      </w:pPr>
      <w:r>
        <w:t>À l</w:t>
      </w:r>
      <w:r w:rsidR="006433CF">
        <w:t>’</w:t>
      </w:r>
      <w:r>
        <w:t>achèvement du projet, le promoteur devra divulguer toutes les sources de financement des projets individuels, y compris les contributions d</w:t>
      </w:r>
      <w:r w:rsidR="006433CF">
        <w:t>’</w:t>
      </w:r>
      <w:r>
        <w:t>autres sources fédérales, provinciales/territoriales, municipales et de l</w:t>
      </w:r>
      <w:r w:rsidR="006433CF">
        <w:t>’</w:t>
      </w:r>
      <w:r>
        <w:t>industrie. Le financement qui dépasse la limite de cumul de l</w:t>
      </w:r>
      <w:r w:rsidR="006433CF">
        <w:t>’</w:t>
      </w:r>
      <w:r>
        <w:t>aide fera l</w:t>
      </w:r>
      <w:r w:rsidR="006433CF">
        <w:t>’</w:t>
      </w:r>
      <w:r>
        <w:t>objet d</w:t>
      </w:r>
      <w:r w:rsidR="006433CF">
        <w:t>’</w:t>
      </w:r>
      <w:r>
        <w:t>un recouvrement.</w:t>
      </w:r>
    </w:p>
    <w:p w:rsidR="00F857EB" w:rsidRPr="009F349D" w:rsidRDefault="00F015C2" w:rsidP="006433CF">
      <w:pPr>
        <w:pStyle w:val="Heading2"/>
      </w:pPr>
      <w:bookmarkStart w:id="41" w:name="_Toc1718661"/>
      <w:r>
        <w:lastRenderedPageBreak/>
        <w:t>Vérifications</w:t>
      </w:r>
      <w:bookmarkEnd w:id="41"/>
    </w:p>
    <w:p w:rsidR="00F857EB" w:rsidRPr="009F349D" w:rsidRDefault="00CB68CA" w:rsidP="006433CF">
      <w:pPr>
        <w:rPr>
          <w:rFonts w:cs="Arial"/>
          <w:bCs/>
        </w:rPr>
      </w:pPr>
      <w:r>
        <w:t>Les bénéficiaires pourraient faire l</w:t>
      </w:r>
      <w:r w:rsidR="006433CF">
        <w:t>’</w:t>
      </w:r>
      <w:r>
        <w:t>objet, à une ou plusieurs reprises, de vérifications, tant à l</w:t>
      </w:r>
      <w:r w:rsidR="006433CF">
        <w:t>’</w:t>
      </w:r>
      <w:r>
        <w:t>achèvement du projet qu</w:t>
      </w:r>
      <w:r w:rsidR="006433CF">
        <w:t>’</w:t>
      </w:r>
      <w:r>
        <w:t>au cours des travaux à la discrétion de RNCan. Les vérifications financières seront associées à la conformité financière. Des évaluations du rendement du projet seront examinées en fonction des résultats énumérés dans l</w:t>
      </w:r>
      <w:r w:rsidR="006433CF">
        <w:t>’</w:t>
      </w:r>
      <w:r>
        <w:t>accord de contribution.</w:t>
      </w:r>
      <w:bookmarkStart w:id="42" w:name="_Toc483488028"/>
    </w:p>
    <w:p w:rsidR="00FA2E05" w:rsidRPr="009F349D" w:rsidRDefault="00EF08F4" w:rsidP="006433CF">
      <w:pPr>
        <w:pStyle w:val="Heading2"/>
      </w:pPr>
      <w:bookmarkStart w:id="43" w:name="_Toc1718662"/>
      <w:r>
        <w:t>Dépenses admissibles et coûts inadmissibles</w:t>
      </w:r>
      <w:bookmarkEnd w:id="43"/>
    </w:p>
    <w:p w:rsidR="00F857EB" w:rsidRPr="009F349D" w:rsidRDefault="00FA2E05" w:rsidP="006433CF">
      <w:pPr>
        <w:rPr>
          <w:rFonts w:cs="Arial"/>
          <w:bCs/>
          <w:szCs w:val="22"/>
        </w:rPr>
      </w:pPr>
      <w:r>
        <w:t xml:space="preserve">Les </w:t>
      </w:r>
      <w:r>
        <w:rPr>
          <w:b/>
        </w:rPr>
        <w:t>dépenses admissibles</w:t>
      </w:r>
      <w:r>
        <w:t xml:space="preserve"> pour un projet approuvé en vertu du Programme doivent être clairement associées et nécessaires à la mise en œuvre et à la réalisation d</w:t>
      </w:r>
      <w:r w:rsidR="006433CF">
        <w:t>’</w:t>
      </w:r>
      <w:r>
        <w:t>un projet et comprendront</w:t>
      </w:r>
      <w:r w:rsidR="006433CF">
        <w:t> :</w:t>
      </w:r>
    </w:p>
    <w:p w:rsidR="00F857EB" w:rsidRPr="009F349D" w:rsidRDefault="00F857EB" w:rsidP="006433CF">
      <w:pPr>
        <w:pStyle w:val="ListParagraph"/>
        <w:numPr>
          <w:ilvl w:val="0"/>
          <w:numId w:val="6"/>
        </w:numPr>
        <w:tabs>
          <w:tab w:val="clear" w:pos="709"/>
        </w:tabs>
        <w:spacing w:before="240"/>
        <w:ind w:left="714" w:hanging="357"/>
        <w:contextualSpacing/>
        <w:rPr>
          <w:rFonts w:cs="Arial"/>
          <w:color w:val="000000"/>
          <w:szCs w:val="22"/>
        </w:rPr>
      </w:pPr>
      <w:proofErr w:type="gramStart"/>
      <w:r>
        <w:rPr>
          <w:color w:val="000000"/>
          <w:szCs w:val="22"/>
        </w:rPr>
        <w:t>les</w:t>
      </w:r>
      <w:proofErr w:type="gramEnd"/>
      <w:r>
        <w:rPr>
          <w:color w:val="000000"/>
          <w:szCs w:val="22"/>
        </w:rPr>
        <w:t xml:space="preserve"> salaires et avantages sociaux des employés figurant sur la liste de paie du promoteur pour le temps effectivement consacré au projet par l</w:t>
      </w:r>
      <w:r w:rsidR="006433CF">
        <w:rPr>
          <w:color w:val="000000"/>
          <w:szCs w:val="22"/>
        </w:rPr>
        <w:t>’</w:t>
      </w:r>
      <w:r>
        <w:rPr>
          <w:color w:val="000000"/>
          <w:szCs w:val="22"/>
        </w:rPr>
        <w:t>employé;</w:t>
      </w:r>
    </w:p>
    <w:p w:rsidR="00F857EB" w:rsidRPr="009F349D" w:rsidRDefault="00F857EB" w:rsidP="006433CF">
      <w:pPr>
        <w:pStyle w:val="ListParagraph"/>
        <w:numPr>
          <w:ilvl w:val="0"/>
          <w:numId w:val="6"/>
        </w:numPr>
        <w:tabs>
          <w:tab w:val="clear" w:pos="709"/>
        </w:tabs>
        <w:spacing w:before="240"/>
        <w:ind w:left="714" w:hanging="357"/>
        <w:contextualSpacing/>
        <w:rPr>
          <w:rFonts w:cs="Arial"/>
          <w:color w:val="000000"/>
          <w:szCs w:val="22"/>
        </w:rPr>
      </w:pPr>
      <w:r>
        <w:rPr>
          <w:color w:val="000000"/>
          <w:szCs w:val="22"/>
        </w:rPr>
        <w:t>les frais de déplacement raisonnables, y compris les repas et l</w:t>
      </w:r>
      <w:r w:rsidR="006433CF">
        <w:rPr>
          <w:color w:val="000000"/>
          <w:szCs w:val="22"/>
        </w:rPr>
        <w:t>’</w:t>
      </w:r>
      <w:r>
        <w:rPr>
          <w:color w:val="000000"/>
          <w:szCs w:val="22"/>
        </w:rPr>
        <w:t>hébergement, en fonction des taux du Conseil national mixte</w:t>
      </w:r>
      <w:r w:rsidR="00B21A01" w:rsidRPr="009F349D">
        <w:rPr>
          <w:rStyle w:val="FootnoteReference"/>
          <w:rFonts w:cs="Arial"/>
          <w:color w:val="000000"/>
          <w:szCs w:val="22"/>
        </w:rPr>
        <w:footnoteReference w:id="1"/>
      </w:r>
      <w:r>
        <w:rPr>
          <w:color w:val="000000"/>
          <w:szCs w:val="22"/>
        </w:rPr>
        <w:t>;</w:t>
      </w:r>
    </w:p>
    <w:p w:rsidR="00F857EB" w:rsidRPr="009F349D" w:rsidRDefault="00F857EB" w:rsidP="006433CF">
      <w:pPr>
        <w:pStyle w:val="ListParagraph"/>
        <w:numPr>
          <w:ilvl w:val="0"/>
          <w:numId w:val="6"/>
        </w:numPr>
        <w:tabs>
          <w:tab w:val="clear" w:pos="709"/>
        </w:tabs>
        <w:spacing w:before="240"/>
        <w:ind w:left="714" w:hanging="357"/>
        <w:contextualSpacing/>
        <w:rPr>
          <w:rFonts w:cs="Arial"/>
          <w:color w:val="000000"/>
          <w:szCs w:val="22"/>
        </w:rPr>
      </w:pPr>
      <w:proofErr w:type="gramStart"/>
      <w:r>
        <w:rPr>
          <w:color w:val="000000"/>
          <w:szCs w:val="22"/>
        </w:rPr>
        <w:t>la</w:t>
      </w:r>
      <w:proofErr w:type="gramEnd"/>
      <w:r>
        <w:rPr>
          <w:color w:val="000000"/>
          <w:szCs w:val="22"/>
        </w:rPr>
        <w:t xml:space="preserve"> TPS/TVP/TVH nette de tout remboursement de taxe auquel le bénéficiaire a droit;</w:t>
      </w:r>
    </w:p>
    <w:p w:rsidR="006433CF" w:rsidRDefault="00F857EB" w:rsidP="006433CF">
      <w:pPr>
        <w:pStyle w:val="ListParagraph"/>
        <w:numPr>
          <w:ilvl w:val="0"/>
          <w:numId w:val="6"/>
        </w:numPr>
        <w:tabs>
          <w:tab w:val="clear" w:pos="709"/>
        </w:tabs>
        <w:spacing w:before="240"/>
        <w:ind w:left="714" w:hanging="357"/>
        <w:contextualSpacing/>
        <w:rPr>
          <w:color w:val="000000"/>
          <w:szCs w:val="22"/>
        </w:rPr>
      </w:pPr>
      <w:proofErr w:type="gramStart"/>
      <w:r>
        <w:rPr>
          <w:color w:val="000000"/>
          <w:szCs w:val="22"/>
        </w:rPr>
        <w:t>d</w:t>
      </w:r>
      <w:r w:rsidR="006433CF">
        <w:rPr>
          <w:color w:val="000000"/>
          <w:szCs w:val="22"/>
        </w:rPr>
        <w:t>’</w:t>
      </w:r>
      <w:r>
        <w:rPr>
          <w:color w:val="000000"/>
          <w:szCs w:val="22"/>
        </w:rPr>
        <w:t>autres</w:t>
      </w:r>
      <w:proofErr w:type="gramEnd"/>
      <w:r>
        <w:rPr>
          <w:color w:val="000000"/>
          <w:szCs w:val="22"/>
        </w:rPr>
        <w:t xml:space="preserve"> dépenses, dont les suivantes</w:t>
      </w:r>
      <w:r w:rsidR="006433CF">
        <w:rPr>
          <w:color w:val="000000"/>
          <w:szCs w:val="22"/>
        </w:rPr>
        <w:t> :</w:t>
      </w:r>
    </w:p>
    <w:p w:rsidR="006433CF" w:rsidRDefault="00F857EB" w:rsidP="006433CF">
      <w:pPr>
        <w:pStyle w:val="ListParagraph"/>
        <w:numPr>
          <w:ilvl w:val="1"/>
          <w:numId w:val="6"/>
        </w:numPr>
        <w:tabs>
          <w:tab w:val="clear" w:pos="709"/>
        </w:tabs>
        <w:spacing w:before="240"/>
        <w:contextualSpacing/>
      </w:pPr>
      <w:proofErr w:type="gramStart"/>
      <w:r>
        <w:t>les</w:t>
      </w:r>
      <w:proofErr w:type="gramEnd"/>
      <w:r>
        <w:t xml:space="preserve"> coûts des installations en vue de la tenue de séminaires et d</w:t>
      </w:r>
      <w:r w:rsidR="006433CF">
        <w:t>’</w:t>
      </w:r>
      <w:r>
        <w:t>ateliers;</w:t>
      </w:r>
    </w:p>
    <w:p w:rsidR="006433CF" w:rsidRDefault="00F857EB" w:rsidP="006433CF">
      <w:pPr>
        <w:pStyle w:val="ListParagraph"/>
        <w:numPr>
          <w:ilvl w:val="1"/>
          <w:numId w:val="6"/>
        </w:numPr>
        <w:tabs>
          <w:tab w:val="clear" w:pos="709"/>
        </w:tabs>
        <w:spacing w:before="240"/>
        <w:contextualSpacing/>
        <w:rPr>
          <w:color w:val="000000"/>
          <w:szCs w:val="22"/>
        </w:rPr>
      </w:pPr>
      <w:proofErr w:type="gramStart"/>
      <w:r>
        <w:rPr>
          <w:color w:val="000000"/>
          <w:szCs w:val="22"/>
        </w:rPr>
        <w:t>des</w:t>
      </w:r>
      <w:proofErr w:type="gramEnd"/>
      <w:r>
        <w:rPr>
          <w:color w:val="000000"/>
          <w:szCs w:val="22"/>
        </w:rPr>
        <w:t xml:space="preserve"> services de publication, d</w:t>
      </w:r>
      <w:r w:rsidR="006433CF">
        <w:rPr>
          <w:color w:val="000000"/>
          <w:szCs w:val="22"/>
        </w:rPr>
        <w:t>’</w:t>
      </w:r>
      <w:r>
        <w:rPr>
          <w:color w:val="000000"/>
          <w:szCs w:val="22"/>
        </w:rPr>
        <w:t>impression et d</w:t>
      </w:r>
      <w:r w:rsidR="006433CF">
        <w:rPr>
          <w:color w:val="000000"/>
          <w:szCs w:val="22"/>
        </w:rPr>
        <w:t>’</w:t>
      </w:r>
      <w:r>
        <w:rPr>
          <w:color w:val="000000"/>
          <w:szCs w:val="22"/>
        </w:rPr>
        <w:t>autres médias;</w:t>
      </w:r>
    </w:p>
    <w:p w:rsidR="00F857EB" w:rsidRPr="009F349D" w:rsidRDefault="00F857EB" w:rsidP="006433CF">
      <w:pPr>
        <w:pStyle w:val="ListParagraph"/>
        <w:numPr>
          <w:ilvl w:val="1"/>
          <w:numId w:val="6"/>
        </w:numPr>
        <w:tabs>
          <w:tab w:val="clear" w:pos="709"/>
        </w:tabs>
        <w:spacing w:before="240"/>
        <w:contextualSpacing/>
        <w:rPr>
          <w:rFonts w:cs="Arial"/>
          <w:color w:val="000000"/>
          <w:szCs w:val="22"/>
        </w:rPr>
      </w:pPr>
      <w:proofErr w:type="gramStart"/>
      <w:r>
        <w:t>des</w:t>
      </w:r>
      <w:proofErr w:type="gramEnd"/>
      <w:r>
        <w:t xml:space="preserve"> services professionnels et techniques;</w:t>
      </w:r>
    </w:p>
    <w:p w:rsidR="00F857EB" w:rsidRPr="009F349D" w:rsidRDefault="00F857EB" w:rsidP="006433CF">
      <w:pPr>
        <w:pStyle w:val="ListParagraph"/>
        <w:numPr>
          <w:ilvl w:val="1"/>
          <w:numId w:val="6"/>
        </w:numPr>
        <w:tabs>
          <w:tab w:val="clear" w:pos="709"/>
        </w:tabs>
        <w:spacing w:before="240"/>
        <w:contextualSpacing/>
        <w:rPr>
          <w:rFonts w:cs="Arial"/>
          <w:color w:val="000000"/>
          <w:szCs w:val="22"/>
        </w:rPr>
      </w:pPr>
      <w:r>
        <w:t>les logiciels et le matériel informatique</w:t>
      </w:r>
      <w:r w:rsidR="00B21A01" w:rsidRPr="009F349D">
        <w:rPr>
          <w:rStyle w:val="FootnoteReference"/>
          <w:rFonts w:eastAsiaTheme="minorHAnsi" w:cs="Arial"/>
          <w:szCs w:val="22"/>
          <w:lang w:eastAsia="en-CA"/>
        </w:rPr>
        <w:footnoteReference w:id="2"/>
      </w:r>
      <w:r>
        <w:t>;</w:t>
      </w:r>
    </w:p>
    <w:p w:rsidR="00F857EB" w:rsidRPr="009F349D" w:rsidRDefault="00F857EB" w:rsidP="006433CF">
      <w:pPr>
        <w:pStyle w:val="ListParagraph"/>
        <w:numPr>
          <w:ilvl w:val="1"/>
          <w:numId w:val="6"/>
        </w:numPr>
        <w:tabs>
          <w:tab w:val="clear" w:pos="709"/>
        </w:tabs>
        <w:spacing w:before="240"/>
        <w:contextualSpacing/>
        <w:rPr>
          <w:rFonts w:cs="Arial"/>
          <w:color w:val="000000"/>
          <w:szCs w:val="22"/>
        </w:rPr>
      </w:pPr>
      <w:proofErr w:type="gramStart"/>
      <w:r>
        <w:rPr>
          <w:color w:val="000000"/>
          <w:szCs w:val="22"/>
        </w:rPr>
        <w:t>les</w:t>
      </w:r>
      <w:proofErr w:type="gramEnd"/>
      <w:r>
        <w:rPr>
          <w:color w:val="000000"/>
          <w:szCs w:val="22"/>
        </w:rPr>
        <w:t xml:space="preserve"> services de collecte de données, y compris de traitement, d</w:t>
      </w:r>
      <w:r w:rsidR="006433CF">
        <w:rPr>
          <w:color w:val="000000"/>
          <w:szCs w:val="22"/>
        </w:rPr>
        <w:t>’</w:t>
      </w:r>
      <w:r>
        <w:rPr>
          <w:color w:val="000000"/>
          <w:szCs w:val="22"/>
        </w:rPr>
        <w:t>analyse et de gestion;</w:t>
      </w:r>
    </w:p>
    <w:p w:rsidR="00F857EB" w:rsidRPr="009F349D" w:rsidRDefault="00F857EB" w:rsidP="006433CF">
      <w:pPr>
        <w:pStyle w:val="ListParagraph"/>
        <w:numPr>
          <w:ilvl w:val="1"/>
          <w:numId w:val="6"/>
        </w:numPr>
        <w:tabs>
          <w:tab w:val="clear" w:pos="709"/>
        </w:tabs>
        <w:spacing w:before="240"/>
        <w:contextualSpacing/>
        <w:rPr>
          <w:rFonts w:cs="Arial"/>
          <w:color w:val="000000"/>
          <w:szCs w:val="22"/>
        </w:rPr>
      </w:pPr>
      <w:proofErr w:type="gramStart"/>
      <w:r>
        <w:t>le</w:t>
      </w:r>
      <w:proofErr w:type="gramEnd"/>
      <w:r>
        <w:t xml:space="preserve"> matériel, l</w:t>
      </w:r>
      <w:r w:rsidR="006433CF">
        <w:t>’</w:t>
      </w:r>
      <w:r>
        <w:t>équipement et les fournitures sur le terrain;</w:t>
      </w:r>
    </w:p>
    <w:p w:rsidR="00F857EB" w:rsidRPr="009F349D" w:rsidRDefault="00F857EB" w:rsidP="006433CF">
      <w:pPr>
        <w:pStyle w:val="ListParagraph"/>
        <w:numPr>
          <w:ilvl w:val="0"/>
          <w:numId w:val="6"/>
        </w:numPr>
        <w:tabs>
          <w:tab w:val="clear" w:pos="709"/>
        </w:tabs>
        <w:spacing w:before="240"/>
        <w:contextualSpacing/>
        <w:rPr>
          <w:rFonts w:cs="Arial"/>
          <w:color w:val="000000"/>
          <w:szCs w:val="22"/>
        </w:rPr>
      </w:pPr>
      <w:proofErr w:type="gramStart"/>
      <w:r>
        <w:rPr>
          <w:color w:val="333333"/>
          <w:szCs w:val="22"/>
        </w:rPr>
        <w:t>les</w:t>
      </w:r>
      <w:proofErr w:type="gramEnd"/>
      <w:r>
        <w:rPr>
          <w:color w:val="333333"/>
          <w:szCs w:val="22"/>
        </w:rPr>
        <w:t xml:space="preserve"> frais généraux à condition qu</w:t>
      </w:r>
      <w:r w:rsidR="006433CF">
        <w:rPr>
          <w:color w:val="333333"/>
          <w:szCs w:val="22"/>
        </w:rPr>
        <w:t>’</w:t>
      </w:r>
      <w:r>
        <w:rPr>
          <w:color w:val="333333"/>
          <w:szCs w:val="22"/>
        </w:rPr>
        <w:t xml:space="preserve">ils soient directement liés à la réalisation du projet et puissent lui être attribués. Les frais généraux seront négociés et convenus individuellement avec les promoteurs des projets avant de signer un accord de contribution. Ils </w:t>
      </w:r>
      <w:r>
        <w:rPr>
          <w:b/>
          <w:bCs/>
          <w:color w:val="333333"/>
          <w:szCs w:val="22"/>
        </w:rPr>
        <w:t>ne dépasseront pas 15 % des dépenses admissibles</w:t>
      </w:r>
      <w:r>
        <w:rPr>
          <w:color w:val="333333"/>
          <w:szCs w:val="22"/>
        </w:rPr>
        <w:t xml:space="preserve">. </w:t>
      </w:r>
      <w:r>
        <w:t>Les frais généraux peuvent comprendre ce qui suit</w:t>
      </w:r>
      <w:r w:rsidR="006433CF">
        <w:t> :</w:t>
      </w:r>
    </w:p>
    <w:p w:rsidR="006433CF" w:rsidRDefault="00F857EB" w:rsidP="006433CF">
      <w:pPr>
        <w:pStyle w:val="ListParagraph"/>
        <w:numPr>
          <w:ilvl w:val="1"/>
          <w:numId w:val="6"/>
        </w:numPr>
        <w:tabs>
          <w:tab w:val="clear" w:pos="709"/>
        </w:tabs>
        <w:spacing w:before="240"/>
        <w:contextualSpacing/>
      </w:pPr>
      <w:proofErr w:type="gramStart"/>
      <w:r>
        <w:t>l</w:t>
      </w:r>
      <w:r w:rsidR="006433CF">
        <w:t>’</w:t>
      </w:r>
      <w:r>
        <w:t>entretien</w:t>
      </w:r>
      <w:proofErr w:type="gramEnd"/>
      <w:r>
        <w:t xml:space="preserve"> régulier de l</w:t>
      </w:r>
      <w:r w:rsidR="006433CF">
        <w:t>’</w:t>
      </w:r>
      <w:r>
        <w:t>équipement de laboratoires et sur le terrain;</w:t>
      </w:r>
    </w:p>
    <w:p w:rsidR="00EF08F4" w:rsidRPr="009F349D" w:rsidRDefault="00F857EB" w:rsidP="006433CF">
      <w:pPr>
        <w:pStyle w:val="ListParagraph"/>
        <w:numPr>
          <w:ilvl w:val="1"/>
          <w:numId w:val="6"/>
        </w:numPr>
        <w:tabs>
          <w:tab w:val="clear" w:pos="709"/>
        </w:tabs>
        <w:spacing w:before="240"/>
        <w:contextualSpacing/>
        <w:rPr>
          <w:rFonts w:cs="Arial"/>
          <w:color w:val="000000"/>
          <w:szCs w:val="22"/>
        </w:rPr>
      </w:pPr>
      <w:proofErr w:type="gramStart"/>
      <w:r>
        <w:t>le</w:t>
      </w:r>
      <w:proofErr w:type="gramEnd"/>
      <w:r>
        <w:t xml:space="preserve"> chauffage, l</w:t>
      </w:r>
      <w:r w:rsidR="006433CF">
        <w:t>’</w:t>
      </w:r>
      <w:r>
        <w:t>électricité et les frais d</w:t>
      </w:r>
      <w:r w:rsidR="006433CF">
        <w:t>’</w:t>
      </w:r>
      <w:r>
        <w:t>exploitation d</w:t>
      </w:r>
      <w:r w:rsidR="006433CF">
        <w:t>’</w:t>
      </w:r>
      <w:r>
        <w:t>un bureau (comme un télécopieur et un téléphone).</w:t>
      </w:r>
    </w:p>
    <w:p w:rsidR="00EF08F4" w:rsidRPr="009F349D" w:rsidRDefault="00EF08F4" w:rsidP="006433CF">
      <w:pPr>
        <w:pStyle w:val="ListParagraph"/>
        <w:numPr>
          <w:ilvl w:val="0"/>
          <w:numId w:val="0"/>
        </w:numPr>
        <w:tabs>
          <w:tab w:val="clear" w:pos="709"/>
        </w:tabs>
        <w:spacing w:before="240"/>
        <w:ind w:left="1440"/>
        <w:contextualSpacing/>
        <w:rPr>
          <w:rFonts w:cs="Arial"/>
          <w:color w:val="000000"/>
          <w:szCs w:val="22"/>
        </w:rPr>
      </w:pPr>
    </w:p>
    <w:p w:rsidR="00F857EB" w:rsidRPr="009F349D" w:rsidRDefault="00F857EB" w:rsidP="006433CF">
      <w:pPr>
        <w:rPr>
          <w:rFonts w:cs="Arial"/>
          <w:bCs/>
          <w:szCs w:val="22"/>
        </w:rPr>
      </w:pPr>
      <w:r>
        <w:t>Parmi les coûts qui ne peuvent pas être pris en considération dans le cadre du coût total du projet (</w:t>
      </w:r>
      <w:r>
        <w:rPr>
          <w:b/>
        </w:rPr>
        <w:t>coûts inadmissibles</w:t>
      </w:r>
      <w:r>
        <w:t>), il y a les suivants</w:t>
      </w:r>
      <w:r w:rsidR="006433CF">
        <w:t> :</w:t>
      </w:r>
    </w:p>
    <w:p w:rsidR="006433CF" w:rsidRDefault="00F857EB" w:rsidP="006433CF">
      <w:pPr>
        <w:pStyle w:val="ListParagraph"/>
        <w:numPr>
          <w:ilvl w:val="0"/>
          <w:numId w:val="6"/>
        </w:numPr>
        <w:tabs>
          <w:tab w:val="clear" w:pos="709"/>
        </w:tabs>
        <w:spacing w:before="240"/>
        <w:ind w:left="714" w:hanging="357"/>
        <w:contextualSpacing/>
        <w:rPr>
          <w:color w:val="000000"/>
          <w:szCs w:val="22"/>
        </w:rPr>
      </w:pPr>
      <w:proofErr w:type="gramStart"/>
      <w:r>
        <w:rPr>
          <w:color w:val="000000"/>
          <w:szCs w:val="22"/>
        </w:rPr>
        <w:t>les</w:t>
      </w:r>
      <w:proofErr w:type="gramEnd"/>
      <w:r>
        <w:rPr>
          <w:color w:val="000000"/>
          <w:szCs w:val="22"/>
        </w:rPr>
        <w:t xml:space="preserve"> salaires, primes et autres stimulants pécuniaires;</w:t>
      </w:r>
    </w:p>
    <w:p w:rsidR="00F857EB" w:rsidRPr="009F349D" w:rsidRDefault="00F857EB" w:rsidP="006433CF">
      <w:pPr>
        <w:pStyle w:val="ListParagraph"/>
        <w:numPr>
          <w:ilvl w:val="0"/>
          <w:numId w:val="6"/>
        </w:numPr>
        <w:tabs>
          <w:tab w:val="clear" w:pos="709"/>
        </w:tabs>
        <w:spacing w:before="240"/>
        <w:ind w:left="714" w:hanging="357"/>
        <w:contextualSpacing/>
        <w:rPr>
          <w:rFonts w:cs="Arial"/>
          <w:color w:val="000000"/>
          <w:szCs w:val="22"/>
        </w:rPr>
      </w:pPr>
      <w:proofErr w:type="gramStart"/>
      <w:r>
        <w:rPr>
          <w:color w:val="000000"/>
          <w:szCs w:val="22"/>
        </w:rPr>
        <w:t>les</w:t>
      </w:r>
      <w:proofErr w:type="gramEnd"/>
      <w:r>
        <w:rPr>
          <w:color w:val="000000"/>
          <w:szCs w:val="22"/>
        </w:rPr>
        <w:t xml:space="preserve"> coûts d</w:t>
      </w:r>
      <w:r w:rsidR="006433CF">
        <w:rPr>
          <w:color w:val="000000"/>
          <w:szCs w:val="22"/>
        </w:rPr>
        <w:t>’</w:t>
      </w:r>
      <w:r>
        <w:rPr>
          <w:color w:val="000000"/>
          <w:szCs w:val="22"/>
        </w:rPr>
        <w:t>acquisition de terrains;</w:t>
      </w:r>
    </w:p>
    <w:p w:rsidR="00F857EB" w:rsidRPr="009F349D" w:rsidRDefault="007C22A2" w:rsidP="006433CF">
      <w:pPr>
        <w:pStyle w:val="ListParagraph"/>
        <w:numPr>
          <w:ilvl w:val="0"/>
          <w:numId w:val="6"/>
        </w:numPr>
        <w:tabs>
          <w:tab w:val="clear" w:pos="709"/>
        </w:tabs>
        <w:spacing w:before="240"/>
        <w:ind w:left="714" w:hanging="357"/>
        <w:contextualSpacing/>
        <w:rPr>
          <w:rFonts w:cs="Arial"/>
          <w:color w:val="000000"/>
          <w:szCs w:val="22"/>
        </w:rPr>
      </w:pPr>
      <w:proofErr w:type="gramStart"/>
      <w:r>
        <w:rPr>
          <w:color w:val="000000"/>
          <w:szCs w:val="22"/>
        </w:rPr>
        <w:t>les</w:t>
      </w:r>
      <w:proofErr w:type="gramEnd"/>
      <w:r>
        <w:rPr>
          <w:color w:val="000000"/>
          <w:szCs w:val="22"/>
        </w:rPr>
        <w:t xml:space="preserve"> frais juridiques;</w:t>
      </w:r>
    </w:p>
    <w:p w:rsidR="00F015C2" w:rsidRPr="009F349D" w:rsidRDefault="007C22A2" w:rsidP="006433CF">
      <w:pPr>
        <w:pStyle w:val="ListParagraph"/>
        <w:numPr>
          <w:ilvl w:val="0"/>
          <w:numId w:val="6"/>
        </w:numPr>
        <w:tabs>
          <w:tab w:val="clear" w:pos="709"/>
        </w:tabs>
        <w:spacing w:before="240"/>
        <w:ind w:left="714" w:hanging="357"/>
        <w:contextualSpacing/>
        <w:rPr>
          <w:rFonts w:cs="Arial"/>
          <w:color w:val="000000"/>
          <w:szCs w:val="22"/>
        </w:rPr>
      </w:pPr>
      <w:proofErr w:type="gramStart"/>
      <w:r>
        <w:rPr>
          <w:color w:val="000000"/>
          <w:szCs w:val="22"/>
        </w:rPr>
        <w:t>les</w:t>
      </w:r>
      <w:proofErr w:type="gramEnd"/>
      <w:r>
        <w:rPr>
          <w:color w:val="000000"/>
          <w:szCs w:val="22"/>
        </w:rPr>
        <w:t xml:space="preserve"> coûts de préparation de la demande de projet.</w:t>
      </w:r>
    </w:p>
    <w:p w:rsidR="00EF08F4" w:rsidRPr="009F349D" w:rsidRDefault="00F015C2" w:rsidP="006433CF">
      <w:pPr>
        <w:pStyle w:val="Heading1"/>
      </w:pPr>
      <w:bookmarkStart w:id="44" w:name="_Toc295427206"/>
      <w:bookmarkStart w:id="45" w:name="_Toc483488029"/>
      <w:bookmarkStart w:id="46" w:name="_Toc1718663"/>
      <w:bookmarkEnd w:id="42"/>
      <w:r>
        <w:lastRenderedPageBreak/>
        <w:t>Exigences en matière de rapports</w:t>
      </w:r>
      <w:bookmarkEnd w:id="44"/>
      <w:bookmarkEnd w:id="45"/>
      <w:bookmarkEnd w:id="46"/>
    </w:p>
    <w:p w:rsidR="003711AA" w:rsidRDefault="003711AA" w:rsidP="00726809">
      <w:pPr>
        <w:keepNext/>
        <w:tabs>
          <w:tab w:val="left" w:pos="900"/>
        </w:tabs>
        <w:rPr>
          <w:rFonts w:cs="Arial"/>
        </w:rPr>
      </w:pPr>
    </w:p>
    <w:p w:rsidR="00F72DA5" w:rsidRPr="009F349D" w:rsidRDefault="00976B75" w:rsidP="006433CF">
      <w:pPr>
        <w:tabs>
          <w:tab w:val="left" w:pos="900"/>
        </w:tabs>
        <w:rPr>
          <w:rFonts w:cs="Arial"/>
        </w:rPr>
      </w:pPr>
      <w:r>
        <w:t>Les exigences en matière de rapports seront déterminées dans l</w:t>
      </w:r>
      <w:r w:rsidR="006433CF">
        <w:t>’</w:t>
      </w:r>
      <w:r>
        <w:t xml:space="preserve">accord de contribution en fonction de la </w:t>
      </w:r>
      <w:r>
        <w:rPr>
          <w:b/>
        </w:rPr>
        <w:t>complexité</w:t>
      </w:r>
      <w:r>
        <w:t xml:space="preserve">, du </w:t>
      </w:r>
      <w:r>
        <w:rPr>
          <w:b/>
        </w:rPr>
        <w:t>risque</w:t>
      </w:r>
      <w:r>
        <w:t xml:space="preserve"> et de la </w:t>
      </w:r>
      <w:r>
        <w:rPr>
          <w:b/>
        </w:rPr>
        <w:t>durée du projet</w:t>
      </w:r>
      <w:r>
        <w:t xml:space="preserve">; elles comprendront au moins des </w:t>
      </w:r>
      <w:r>
        <w:rPr>
          <w:b/>
        </w:rPr>
        <w:t>rapports semestriels</w:t>
      </w:r>
      <w:r>
        <w:t xml:space="preserve"> qui</w:t>
      </w:r>
      <w:r w:rsidR="006433CF">
        <w:t> :</w:t>
      </w:r>
    </w:p>
    <w:p w:rsidR="00F72DA5" w:rsidRPr="009F349D" w:rsidRDefault="00976B75" w:rsidP="006433CF">
      <w:pPr>
        <w:numPr>
          <w:ilvl w:val="0"/>
          <w:numId w:val="7"/>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N w:val="0"/>
        <w:spacing w:before="240"/>
        <w:rPr>
          <w:rFonts w:cs="Arial"/>
        </w:rPr>
      </w:pPr>
      <w:proofErr w:type="gramStart"/>
      <w:r>
        <w:t>fourniront</w:t>
      </w:r>
      <w:proofErr w:type="gramEnd"/>
      <w:r>
        <w:t xml:space="preserve"> une description des activités, y compris les enjeux et risques;</w:t>
      </w:r>
    </w:p>
    <w:p w:rsidR="00F72DA5" w:rsidRPr="009F349D" w:rsidRDefault="00976B75" w:rsidP="006433CF">
      <w:pPr>
        <w:numPr>
          <w:ilvl w:val="0"/>
          <w:numId w:val="7"/>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N w:val="0"/>
        <w:rPr>
          <w:rFonts w:cs="Arial"/>
        </w:rPr>
      </w:pPr>
      <w:proofErr w:type="gramStart"/>
      <w:r>
        <w:t>fourniront</w:t>
      </w:r>
      <w:proofErr w:type="gramEnd"/>
      <w:r>
        <w:t xml:space="preserve"> un rapport financier expliquant de manière détaillée les coûts engagés et un budget à jour selon la tâche;</w:t>
      </w:r>
    </w:p>
    <w:p w:rsidR="00F72DA5" w:rsidRPr="009F349D" w:rsidRDefault="00976B75" w:rsidP="006433CF">
      <w:pPr>
        <w:numPr>
          <w:ilvl w:val="0"/>
          <w:numId w:val="7"/>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N w:val="0"/>
        <w:rPr>
          <w:rFonts w:cs="Arial"/>
        </w:rPr>
      </w:pPr>
      <w:proofErr w:type="gramStart"/>
      <w:r>
        <w:t>énuméreront</w:t>
      </w:r>
      <w:proofErr w:type="gramEnd"/>
      <w:r>
        <w:t xml:space="preserve"> les progrès accomplis par rapport aux mesures de rendement le cas échéant;</w:t>
      </w:r>
    </w:p>
    <w:p w:rsidR="00F72DA5" w:rsidRPr="009F349D" w:rsidRDefault="00976B75" w:rsidP="006433CF">
      <w:pPr>
        <w:numPr>
          <w:ilvl w:val="0"/>
          <w:numId w:val="7"/>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N w:val="0"/>
        <w:rPr>
          <w:rFonts w:cs="Arial"/>
        </w:rPr>
      </w:pPr>
      <w:proofErr w:type="gramStart"/>
      <w:r>
        <w:t>détermineront</w:t>
      </w:r>
      <w:proofErr w:type="gramEnd"/>
      <w:r>
        <w:t xml:space="preserve"> toute composante de travail non réalisée du projet qui doit être achevée.</w:t>
      </w:r>
    </w:p>
    <w:p w:rsidR="00F72DA5" w:rsidRPr="009F349D" w:rsidRDefault="00F72DA5" w:rsidP="006433CF">
      <w:pPr>
        <w:tabs>
          <w:tab w:val="left" w:pos="900"/>
        </w:tabs>
        <w:rPr>
          <w:rFonts w:cs="Arial"/>
        </w:rPr>
      </w:pPr>
    </w:p>
    <w:p w:rsidR="006433CF" w:rsidRDefault="00B21A01" w:rsidP="006433CF">
      <w:pPr>
        <w:tabs>
          <w:tab w:val="left" w:pos="900"/>
        </w:tabs>
      </w:pPr>
      <w:r>
        <w:t>Le Programme fournira des modèles aux bénéficiaires, afin qu</w:t>
      </w:r>
      <w:r w:rsidR="006433CF">
        <w:t>’</w:t>
      </w:r>
      <w:r>
        <w:t>ils puissent rédiger les rapports semestriels.</w:t>
      </w:r>
    </w:p>
    <w:p w:rsidR="00B21A01" w:rsidRPr="009F349D" w:rsidRDefault="00B21A01" w:rsidP="006433CF">
      <w:pPr>
        <w:tabs>
          <w:tab w:val="left" w:pos="900"/>
        </w:tabs>
        <w:rPr>
          <w:rFonts w:cs="Arial"/>
        </w:rPr>
      </w:pPr>
    </w:p>
    <w:p w:rsidR="00F72DA5" w:rsidRPr="009F349D" w:rsidRDefault="00F72DA5" w:rsidP="006433CF">
      <w:pPr>
        <w:tabs>
          <w:tab w:val="left" w:pos="900"/>
        </w:tabs>
        <w:rPr>
          <w:rFonts w:cs="Arial"/>
        </w:rPr>
      </w:pPr>
      <w:r>
        <w:t xml:space="preserve">À la </w:t>
      </w:r>
      <w:r>
        <w:rPr>
          <w:b/>
        </w:rPr>
        <w:t>fin du projet</w:t>
      </w:r>
      <w:r>
        <w:t>, les bénéficiaires fourniront ce qui suit</w:t>
      </w:r>
      <w:r w:rsidR="006433CF">
        <w:t> :</w:t>
      </w:r>
    </w:p>
    <w:p w:rsidR="009621E4" w:rsidRDefault="009621E4" w:rsidP="006433CF">
      <w:pPr>
        <w:tabs>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68"/>
        <w:rPr>
          <w:rFonts w:cs="Arial"/>
        </w:rPr>
      </w:pPr>
    </w:p>
    <w:p w:rsidR="006433CF" w:rsidRDefault="009621E4" w:rsidP="006433CF">
      <w:pPr>
        <w:numPr>
          <w:ilvl w:val="0"/>
          <w:numId w:val="8"/>
        </w:numPr>
        <w:tabs>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roofErr w:type="gramStart"/>
      <w:r>
        <w:t>un</w:t>
      </w:r>
      <w:proofErr w:type="gramEnd"/>
      <w:r>
        <w:t xml:space="preserve"> rapport financier signé par le dirigeant principal des finances ou un agent dûment autorisé de l</w:t>
      </w:r>
      <w:r w:rsidR="006433CF">
        <w:t>’</w:t>
      </w:r>
      <w:r>
        <w:t>organisation qui illustre comment la contribution a été dépensée, ainsi qu</w:t>
      </w:r>
      <w:r w:rsidR="006433CF">
        <w:t>’</w:t>
      </w:r>
      <w:r>
        <w:t>une déclaration à propos du montant total des contributions ou des paiements reçus d</w:t>
      </w:r>
      <w:r w:rsidR="006433CF">
        <w:t>’</w:t>
      </w:r>
      <w:r>
        <w:t>autres sources dans le cadre du projet;</w:t>
      </w:r>
    </w:p>
    <w:p w:rsidR="009621E4" w:rsidRPr="009621E4" w:rsidRDefault="009621E4" w:rsidP="006433CF">
      <w:pPr>
        <w:numPr>
          <w:ilvl w:val="0"/>
          <w:numId w:val="8"/>
        </w:numPr>
        <w:tabs>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rPr>
      </w:pPr>
      <w:proofErr w:type="gramStart"/>
      <w:r>
        <w:t>une</w:t>
      </w:r>
      <w:proofErr w:type="gramEnd"/>
      <w:r>
        <w:t xml:space="preserve"> copie des études, des mémoires de recherche et des documents techniques produits dans le cadre du projet;</w:t>
      </w:r>
    </w:p>
    <w:p w:rsidR="006433CF" w:rsidRDefault="00B21A01" w:rsidP="006433CF">
      <w:pPr>
        <w:numPr>
          <w:ilvl w:val="0"/>
          <w:numId w:val="8"/>
        </w:numPr>
        <w:tabs>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roofErr w:type="gramStart"/>
      <w:r>
        <w:t>un</w:t>
      </w:r>
      <w:proofErr w:type="gramEnd"/>
      <w:r>
        <w:t xml:space="preserve"> rapport définitif qui décrit la manière dont les activités du projet ont permis l</w:t>
      </w:r>
      <w:r w:rsidR="006433CF">
        <w:t>’</w:t>
      </w:r>
      <w:r>
        <w:t>atteinte des objectifs du projet, ainsi qu</w:t>
      </w:r>
      <w:r w:rsidR="006433CF">
        <w:t>’</w:t>
      </w:r>
      <w:r>
        <w:t>une évaluation finale des indicateurs de rendement déterminés, afin de faire état des résultats du projet.</w:t>
      </w:r>
    </w:p>
    <w:p w:rsidR="00EF08F4" w:rsidRPr="009F349D" w:rsidRDefault="00EF08F4" w:rsidP="006433CF">
      <w:pPr>
        <w:numPr>
          <w:ilvl w:val="12"/>
          <w:numId w:val="0"/>
        </w:numPr>
        <w:tabs>
          <w:tab w:val="left" w:pos="-720"/>
          <w:tab w:val="left" w:pos="-360"/>
        </w:tabs>
        <w:rPr>
          <w:rFonts w:cs="Arial"/>
        </w:rPr>
      </w:pPr>
    </w:p>
    <w:p w:rsidR="00F72DA5" w:rsidRPr="009F349D" w:rsidRDefault="00F72DA5" w:rsidP="006433CF">
      <w:pPr>
        <w:numPr>
          <w:ilvl w:val="12"/>
          <w:numId w:val="0"/>
        </w:numPr>
        <w:tabs>
          <w:tab w:val="left" w:pos="-720"/>
          <w:tab w:val="left" w:pos="-360"/>
        </w:tabs>
        <w:rPr>
          <w:rFonts w:cs="Arial"/>
        </w:rPr>
      </w:pPr>
      <w:r>
        <w:t>Une communication régulière entre RNCan et les bénéficiaires sera établie pour suivre les progrès.</w:t>
      </w:r>
    </w:p>
    <w:p w:rsidR="00EF08F4" w:rsidRPr="009F349D" w:rsidRDefault="00EF08F4" w:rsidP="006433CF">
      <w:pPr>
        <w:pStyle w:val="Heading1"/>
      </w:pPr>
      <w:bookmarkStart w:id="47" w:name="_Toc1718664"/>
      <w:r>
        <w:t>Base de calcul et moment des paiements</w:t>
      </w:r>
      <w:bookmarkEnd w:id="47"/>
    </w:p>
    <w:p w:rsidR="00024B9F" w:rsidRPr="009F349D" w:rsidRDefault="00024B9F" w:rsidP="00726809">
      <w:pPr>
        <w:keepNext/>
        <w:rPr>
          <w:rFonts w:cs="Arial"/>
        </w:rPr>
      </w:pPr>
    </w:p>
    <w:p w:rsidR="006433CF" w:rsidRDefault="00024B9F" w:rsidP="006433CF">
      <w:r>
        <w:t>Les accords de contribution établiront les termes requis du paiement, qui sera fait lors de la réception des documents appropriés, comme l</w:t>
      </w:r>
      <w:r w:rsidR="006433CF">
        <w:t>’</w:t>
      </w:r>
      <w:r>
        <w:t>indique l</w:t>
      </w:r>
      <w:r w:rsidR="006433CF">
        <w:t>’</w:t>
      </w:r>
      <w:r>
        <w:t>accord de contribution.</w:t>
      </w:r>
    </w:p>
    <w:p w:rsidR="00976B75" w:rsidRPr="009F349D" w:rsidRDefault="00976B75" w:rsidP="006433CF">
      <w:pPr>
        <w:rPr>
          <w:rFonts w:cs="Arial"/>
        </w:rPr>
      </w:pPr>
    </w:p>
    <w:p w:rsidR="00976B75" w:rsidRPr="009F349D" w:rsidRDefault="00976B75" w:rsidP="006433CF">
      <w:pPr>
        <w:rPr>
          <w:rFonts w:cs="Arial"/>
        </w:rPr>
      </w:pPr>
      <w:r>
        <w:t>Le paiement final ne sera fait qu</w:t>
      </w:r>
      <w:r w:rsidR="006433CF">
        <w:t>’</w:t>
      </w:r>
      <w:r>
        <w:t>au moment où le promoteur aura achevé toutes les activités du projet, à la satisfaction de RNCan. Dans le but d</w:t>
      </w:r>
      <w:r w:rsidR="006433CF">
        <w:t>’</w:t>
      </w:r>
      <w:r>
        <w:t>assurer un contrôle adéquat du projet, on retiendra un certain pourcentage de l</w:t>
      </w:r>
      <w:r w:rsidR="006433CF">
        <w:t>’</w:t>
      </w:r>
      <w:r>
        <w:t>accord de contribution jusqu</w:t>
      </w:r>
      <w:r w:rsidR="006433CF">
        <w:t>’</w:t>
      </w:r>
      <w:r>
        <w:t>à ce que toutes les conditions énumérées dans l</w:t>
      </w:r>
      <w:r w:rsidR="006433CF">
        <w:t>’</w:t>
      </w:r>
      <w:r>
        <w:t>accord de contribution aient été remplies. Le pourcentage retenu sera déterminé en fonction du niveau de risque du projet. Les conditions de versement du montant retenu seront établies dans l</w:t>
      </w:r>
      <w:r w:rsidR="006433CF">
        <w:t>’</w:t>
      </w:r>
      <w:r>
        <w:t>accord de contribution.</w:t>
      </w:r>
    </w:p>
    <w:p w:rsidR="00024B9F" w:rsidRPr="009F349D" w:rsidRDefault="00024B9F" w:rsidP="006433CF">
      <w:pPr>
        <w:rPr>
          <w:rFonts w:cs="Arial"/>
        </w:rPr>
      </w:pPr>
    </w:p>
    <w:p w:rsidR="00024B9F" w:rsidRDefault="00024B9F" w:rsidP="006433CF">
      <w:pPr>
        <w:rPr>
          <w:rFonts w:cs="Arial"/>
        </w:rPr>
      </w:pPr>
      <w:r>
        <w:t>Aucun paiement final ne sera effectué tant qu</w:t>
      </w:r>
      <w:r w:rsidR="006433CF">
        <w:t>’</w:t>
      </w:r>
      <w:r>
        <w:t>un bénéficiaire n</w:t>
      </w:r>
      <w:r w:rsidR="006433CF">
        <w:t>’</w:t>
      </w:r>
      <w:r>
        <w:t>aura pas achevé toutes les activités de projet convenues, à la satisfaction de RNCan.</w:t>
      </w:r>
    </w:p>
    <w:p w:rsidR="003711AA" w:rsidRPr="009F349D" w:rsidRDefault="003711AA" w:rsidP="006433CF">
      <w:pPr>
        <w:rPr>
          <w:rFonts w:cs="Arial"/>
        </w:rPr>
      </w:pPr>
    </w:p>
    <w:p w:rsidR="00F015C2" w:rsidRDefault="00F015C2" w:rsidP="006433CF">
      <w:pPr>
        <w:pStyle w:val="Heading1"/>
      </w:pPr>
      <w:bookmarkStart w:id="48" w:name="_Toc493594090"/>
      <w:bookmarkStart w:id="49" w:name="_Toc1718665"/>
      <w:r>
        <w:lastRenderedPageBreak/>
        <w:t>Propriété intellectuelle</w:t>
      </w:r>
      <w:bookmarkEnd w:id="48"/>
      <w:bookmarkEnd w:id="49"/>
    </w:p>
    <w:p w:rsidR="00EC517D" w:rsidRPr="00EC517D" w:rsidRDefault="00EC517D" w:rsidP="00726809">
      <w:pPr>
        <w:keepNext/>
      </w:pPr>
    </w:p>
    <w:p w:rsidR="00B1685F" w:rsidRDefault="00F72DA5" w:rsidP="006433CF">
      <w:r>
        <w:t>Toute propriété intellectuelle découlant des accords de contribution revient au bénéficiaire ou lui est octroyée sous licence. Le bénéficiaire accorde au Canada une licence à perpétuité non exclusive, irrévocable, mondiale, entièrement payée et libre de redevances qui lui permet d</w:t>
      </w:r>
      <w:r w:rsidR="006433CF">
        <w:t>’</w:t>
      </w:r>
      <w:r>
        <w:t>utiliser les données et les renseignements que renferment les rapports, et de modifier ces rapports et documents à des fins gouvernementales autres que commerciales.</w:t>
      </w:r>
    </w:p>
    <w:p w:rsidR="00F015C2" w:rsidRPr="009F349D" w:rsidRDefault="00F015C2" w:rsidP="006433CF">
      <w:pPr>
        <w:pStyle w:val="Heading1"/>
      </w:pPr>
      <w:bookmarkStart w:id="50" w:name="_Toc295427208"/>
      <w:bookmarkStart w:id="51" w:name="_Toc483488031"/>
      <w:bookmarkStart w:id="52" w:name="_Toc1718666"/>
      <w:r>
        <w:t>Autres conditions</w:t>
      </w:r>
      <w:bookmarkEnd w:id="50"/>
      <w:bookmarkEnd w:id="51"/>
      <w:bookmarkEnd w:id="52"/>
    </w:p>
    <w:p w:rsidR="00F015C2" w:rsidRPr="009F349D" w:rsidRDefault="00F015C2" w:rsidP="00726809">
      <w:pPr>
        <w:keepNext/>
        <w:ind w:left="426"/>
        <w:rPr>
          <w:rFonts w:cs="Arial"/>
        </w:rPr>
      </w:pPr>
    </w:p>
    <w:p w:rsidR="00925C16" w:rsidRPr="009F349D" w:rsidRDefault="00F015C2" w:rsidP="006433CF">
      <w:pPr>
        <w:numPr>
          <w:ilvl w:val="0"/>
          <w:numId w:val="1"/>
        </w:numPr>
        <w:tabs>
          <w:tab w:val="clear" w:pos="820"/>
          <w:tab w:val="num" w:pos="426"/>
        </w:tabs>
        <w:ind w:left="426" w:hanging="394"/>
        <w:rPr>
          <w:rFonts w:cs="Arial"/>
        </w:rPr>
      </w:pPr>
      <w:r>
        <w:t>Aucun membre de la Chambre des communes ne sera admis à participer à une partie ou à la totalité des accords de contribution, ni à aucun des avantages qui en découleront.</w:t>
      </w:r>
    </w:p>
    <w:p w:rsidR="00925C16" w:rsidRPr="009F349D" w:rsidRDefault="00925C16" w:rsidP="006433CF">
      <w:pPr>
        <w:ind w:left="426"/>
        <w:rPr>
          <w:rFonts w:cs="Arial"/>
        </w:rPr>
      </w:pPr>
    </w:p>
    <w:p w:rsidR="006433CF" w:rsidRDefault="00CB68CA" w:rsidP="006433CF">
      <w:pPr>
        <w:numPr>
          <w:ilvl w:val="0"/>
          <w:numId w:val="1"/>
        </w:numPr>
        <w:tabs>
          <w:tab w:val="clear" w:pos="820"/>
          <w:tab w:val="num" w:pos="426"/>
        </w:tabs>
        <w:ind w:left="426" w:hanging="394"/>
      </w:pPr>
      <w:r>
        <w:t xml:space="preserve">Les demandeurs et bénéficiaires devront respecter la </w:t>
      </w:r>
      <w:r>
        <w:rPr>
          <w:i/>
        </w:rPr>
        <w:t>Loi sur les conflits d</w:t>
      </w:r>
      <w:r w:rsidR="006433CF">
        <w:rPr>
          <w:i/>
        </w:rPr>
        <w:t>’</w:t>
      </w:r>
      <w:r>
        <w:rPr>
          <w:i/>
        </w:rPr>
        <w:t>intérêts</w:t>
      </w:r>
      <w:r>
        <w:t xml:space="preserve"> et le </w:t>
      </w:r>
      <w:r>
        <w:rPr>
          <w:i/>
        </w:rPr>
        <w:t>Code régissant la conduite des titulaires de charge publique en ce qui concerne les conflits d</w:t>
      </w:r>
      <w:r w:rsidR="006433CF">
        <w:rPr>
          <w:i/>
        </w:rPr>
        <w:t>’</w:t>
      </w:r>
      <w:r>
        <w:rPr>
          <w:i/>
        </w:rPr>
        <w:t>intérêts et l</w:t>
      </w:r>
      <w:r w:rsidR="006433CF">
        <w:rPr>
          <w:i/>
        </w:rPr>
        <w:t>’</w:t>
      </w:r>
      <w:r>
        <w:rPr>
          <w:i/>
        </w:rPr>
        <w:t>après-mandat</w:t>
      </w:r>
      <w:r>
        <w:t>.</w:t>
      </w:r>
    </w:p>
    <w:p w:rsidR="00F015C2" w:rsidRPr="009F349D" w:rsidRDefault="00F015C2" w:rsidP="006433CF">
      <w:pPr>
        <w:ind w:left="426"/>
        <w:rPr>
          <w:rFonts w:cs="Arial"/>
        </w:rPr>
      </w:pPr>
    </w:p>
    <w:p w:rsidR="006433CF" w:rsidRDefault="00F015C2" w:rsidP="006433CF">
      <w:pPr>
        <w:numPr>
          <w:ilvl w:val="0"/>
          <w:numId w:val="1"/>
        </w:numPr>
        <w:tabs>
          <w:tab w:val="clear" w:pos="820"/>
          <w:tab w:val="num" w:pos="426"/>
        </w:tabs>
        <w:ind w:left="426" w:hanging="394"/>
      </w:pPr>
      <w:r>
        <w:t>Le financement peut être annulé ou réduit si les niveaux de financement du Ministère sont réduits par le Parlement. Les accords comprendront des dispositions à cet égard.</w:t>
      </w:r>
    </w:p>
    <w:p w:rsidR="00F015C2" w:rsidRPr="009F349D" w:rsidRDefault="00F015C2" w:rsidP="006433CF">
      <w:pPr>
        <w:ind w:left="426"/>
        <w:rPr>
          <w:rFonts w:cs="Arial"/>
        </w:rPr>
      </w:pPr>
    </w:p>
    <w:p w:rsidR="006433CF" w:rsidRDefault="00F015C2" w:rsidP="006433CF">
      <w:pPr>
        <w:numPr>
          <w:ilvl w:val="0"/>
          <w:numId w:val="1"/>
        </w:numPr>
        <w:tabs>
          <w:tab w:val="clear" w:pos="820"/>
          <w:tab w:val="num" w:pos="426"/>
        </w:tabs>
        <w:ind w:left="426" w:hanging="394"/>
      </w:pPr>
      <w:r>
        <w:t>Les bénéficiaires devront reconnaître l</w:t>
      </w:r>
      <w:r w:rsidR="006433CF">
        <w:t>’</w:t>
      </w:r>
      <w:r>
        <w:t>appui financier du gouvernement du Canada dans tout document d</w:t>
      </w:r>
      <w:r w:rsidR="006433CF">
        <w:t>’</w:t>
      </w:r>
      <w:r>
        <w:t>information destiné au public dans le cadre du projet.</w:t>
      </w:r>
    </w:p>
    <w:p w:rsidR="003711AA" w:rsidRDefault="003711AA" w:rsidP="006433CF">
      <w:pPr>
        <w:pStyle w:val="ListParagraph"/>
        <w:numPr>
          <w:ilvl w:val="0"/>
          <w:numId w:val="0"/>
        </w:numPr>
        <w:ind w:left="720"/>
      </w:pPr>
    </w:p>
    <w:p w:rsidR="003711AA" w:rsidRPr="003711AA" w:rsidRDefault="003711AA" w:rsidP="006433CF">
      <w:pPr>
        <w:numPr>
          <w:ilvl w:val="0"/>
          <w:numId w:val="1"/>
        </w:numPr>
        <w:tabs>
          <w:tab w:val="clear" w:pos="820"/>
          <w:tab w:val="num" w:pos="426"/>
        </w:tabs>
        <w:ind w:left="426" w:hanging="394"/>
        <w:rPr>
          <w:rFonts w:cs="Arial"/>
        </w:rPr>
      </w:pPr>
      <w:r>
        <w:t>Lorsque c</w:t>
      </w:r>
      <w:r w:rsidR="006433CF">
        <w:t>’</w:t>
      </w:r>
      <w:r>
        <w:t xml:space="preserve">est possible, les bénéficiaires devront </w:t>
      </w:r>
      <w:r>
        <w:rPr>
          <w:b/>
        </w:rPr>
        <w:t>diffuser les résultats de la recherche</w:t>
      </w:r>
      <w:r>
        <w:t xml:space="preserve"> aux utilisateurs finaux, qui </w:t>
      </w:r>
      <w:r>
        <w:rPr>
          <w:b/>
        </w:rPr>
        <w:t>peuvent</w:t>
      </w:r>
      <w:r>
        <w:t xml:space="preserve"> comprendre les parties suivantes</w:t>
      </w:r>
      <w:r w:rsidR="006433CF">
        <w:t> :</w:t>
      </w:r>
    </w:p>
    <w:p w:rsidR="003711AA" w:rsidRPr="003711AA" w:rsidRDefault="003711AA" w:rsidP="006433CF">
      <w:pPr>
        <w:pStyle w:val="ListParagraph"/>
        <w:numPr>
          <w:ilvl w:val="0"/>
          <w:numId w:val="0"/>
        </w:numPr>
        <w:ind w:left="720"/>
        <w:rPr>
          <w:rFonts w:cs="Arial"/>
        </w:rPr>
      </w:pPr>
    </w:p>
    <w:p w:rsidR="003711AA" w:rsidRPr="003711AA" w:rsidRDefault="003711AA" w:rsidP="006433CF">
      <w:pPr>
        <w:pStyle w:val="ListParagraph"/>
        <w:numPr>
          <w:ilvl w:val="0"/>
          <w:numId w:val="23"/>
        </w:numPr>
        <w:tabs>
          <w:tab w:val="clear" w:pos="709"/>
        </w:tabs>
        <w:contextualSpacing/>
        <w:rPr>
          <w:rFonts w:cs="Arial"/>
          <w:szCs w:val="22"/>
        </w:rPr>
      </w:pPr>
      <w:proofErr w:type="gramStart"/>
      <w:r>
        <w:t>des</w:t>
      </w:r>
      <w:proofErr w:type="gramEnd"/>
      <w:r>
        <w:t xml:space="preserve"> membres du Réseau sectoriel de l</w:t>
      </w:r>
      <w:r w:rsidR="006433CF">
        <w:t>’</w:t>
      </w:r>
      <w:r>
        <w:t>énergie et des services publics;</w:t>
      </w:r>
    </w:p>
    <w:p w:rsidR="003711AA" w:rsidRPr="003711AA" w:rsidRDefault="003711AA" w:rsidP="006433CF">
      <w:pPr>
        <w:pStyle w:val="ListParagraph"/>
        <w:numPr>
          <w:ilvl w:val="0"/>
          <w:numId w:val="23"/>
        </w:numPr>
        <w:tabs>
          <w:tab w:val="clear" w:pos="709"/>
        </w:tabs>
        <w:contextualSpacing/>
        <w:rPr>
          <w:rFonts w:cs="Arial"/>
          <w:szCs w:val="22"/>
        </w:rPr>
      </w:pPr>
      <w:proofErr w:type="gramStart"/>
      <w:r>
        <w:t>des</w:t>
      </w:r>
      <w:proofErr w:type="gramEnd"/>
      <w:r>
        <w:t xml:space="preserve"> ministères et organismes des gouvernements provinciaux et territoriaux chargés de la sûreté, de la sécurité, de l</w:t>
      </w:r>
      <w:r w:rsidR="006433CF">
        <w:t>’</w:t>
      </w:r>
      <w:r>
        <w:t>état de préparation, de l</w:t>
      </w:r>
      <w:r w:rsidR="006433CF">
        <w:t>’</w:t>
      </w:r>
      <w:r>
        <w:t>intervention et de la résilience du secteur de l</w:t>
      </w:r>
      <w:r w:rsidR="006433CF">
        <w:t>’</w:t>
      </w:r>
      <w:r>
        <w:t>énergie et des services publics du Canada;</w:t>
      </w:r>
    </w:p>
    <w:p w:rsidR="003711AA" w:rsidRPr="003711AA" w:rsidRDefault="003711AA" w:rsidP="006433CF">
      <w:pPr>
        <w:pStyle w:val="ListParagraph"/>
        <w:numPr>
          <w:ilvl w:val="0"/>
          <w:numId w:val="23"/>
        </w:numPr>
        <w:tabs>
          <w:tab w:val="clear" w:pos="709"/>
        </w:tabs>
        <w:contextualSpacing/>
        <w:rPr>
          <w:rFonts w:cs="Arial"/>
          <w:szCs w:val="22"/>
        </w:rPr>
      </w:pPr>
      <w:proofErr w:type="gramStart"/>
      <w:r>
        <w:t>des</w:t>
      </w:r>
      <w:proofErr w:type="gramEnd"/>
      <w:r>
        <w:t xml:space="preserve"> membres de l</w:t>
      </w:r>
      <w:r w:rsidR="006433CF">
        <w:t>’</w:t>
      </w:r>
      <w:r>
        <w:t xml:space="preserve">Energy </w:t>
      </w:r>
      <w:proofErr w:type="spellStart"/>
      <w:r>
        <w:t>Sector</w:t>
      </w:r>
      <w:proofErr w:type="spellEnd"/>
      <w:r>
        <w:t xml:space="preserve"> </w:t>
      </w:r>
      <w:proofErr w:type="spellStart"/>
      <w:r>
        <w:t>Government</w:t>
      </w:r>
      <w:proofErr w:type="spellEnd"/>
      <w:r>
        <w:t xml:space="preserve"> </w:t>
      </w:r>
      <w:proofErr w:type="spellStart"/>
      <w:r>
        <w:t>Coordinating</w:t>
      </w:r>
      <w:proofErr w:type="spellEnd"/>
      <w:r>
        <w:t xml:space="preserve"> Council (EGCC), de l</w:t>
      </w:r>
      <w:r w:rsidR="006433CF">
        <w:t>’</w:t>
      </w:r>
      <w:proofErr w:type="spellStart"/>
      <w:r>
        <w:t>Electricity</w:t>
      </w:r>
      <w:proofErr w:type="spellEnd"/>
      <w:r>
        <w:t xml:space="preserve"> </w:t>
      </w:r>
      <w:proofErr w:type="spellStart"/>
      <w:r>
        <w:t>Subsector</w:t>
      </w:r>
      <w:proofErr w:type="spellEnd"/>
      <w:r>
        <w:t xml:space="preserve"> </w:t>
      </w:r>
      <w:proofErr w:type="spellStart"/>
      <w:r>
        <w:t>Coordinating</w:t>
      </w:r>
      <w:proofErr w:type="spellEnd"/>
      <w:r>
        <w:t xml:space="preserve"> Council (ESCC), et de l</w:t>
      </w:r>
      <w:r w:rsidR="006433CF">
        <w:t>’</w:t>
      </w:r>
      <w:proofErr w:type="spellStart"/>
      <w:r>
        <w:t>Oil</w:t>
      </w:r>
      <w:proofErr w:type="spellEnd"/>
      <w:r>
        <w:t xml:space="preserve"> and Natural </w:t>
      </w:r>
      <w:proofErr w:type="spellStart"/>
      <w:r>
        <w:t>Gas</w:t>
      </w:r>
      <w:proofErr w:type="spellEnd"/>
      <w:r>
        <w:t xml:space="preserve"> </w:t>
      </w:r>
      <w:proofErr w:type="spellStart"/>
      <w:r>
        <w:t>Subsector</w:t>
      </w:r>
      <w:proofErr w:type="spellEnd"/>
      <w:r>
        <w:t xml:space="preserve"> </w:t>
      </w:r>
      <w:proofErr w:type="spellStart"/>
      <w:r>
        <w:t>Coordinating</w:t>
      </w:r>
      <w:proofErr w:type="spellEnd"/>
      <w:r>
        <w:t xml:space="preserve"> Council (ONG SCC) aux États-Unis;</w:t>
      </w:r>
    </w:p>
    <w:p w:rsidR="003711AA" w:rsidRPr="003711AA" w:rsidRDefault="003711AA" w:rsidP="006433CF">
      <w:pPr>
        <w:pStyle w:val="ListParagraph"/>
        <w:numPr>
          <w:ilvl w:val="0"/>
          <w:numId w:val="23"/>
        </w:numPr>
        <w:tabs>
          <w:tab w:val="clear" w:pos="709"/>
        </w:tabs>
        <w:contextualSpacing/>
        <w:rPr>
          <w:rFonts w:cs="Arial"/>
          <w:szCs w:val="22"/>
        </w:rPr>
      </w:pPr>
      <w:proofErr w:type="gramStart"/>
      <w:r>
        <w:t>des</w:t>
      </w:r>
      <w:proofErr w:type="gramEnd"/>
      <w:r>
        <w:t xml:space="preserve"> entreprises privées du secteur de l</w:t>
      </w:r>
      <w:r w:rsidR="006433CF">
        <w:t>’</w:t>
      </w:r>
      <w:r>
        <w:t>énergie et des services publics au Canada et aux États-Unis;</w:t>
      </w:r>
    </w:p>
    <w:p w:rsidR="003711AA" w:rsidRPr="003711AA" w:rsidRDefault="003711AA" w:rsidP="006433CF">
      <w:pPr>
        <w:pStyle w:val="ListParagraph"/>
        <w:numPr>
          <w:ilvl w:val="0"/>
          <w:numId w:val="23"/>
        </w:numPr>
        <w:tabs>
          <w:tab w:val="clear" w:pos="709"/>
        </w:tabs>
        <w:contextualSpacing/>
        <w:rPr>
          <w:rFonts w:cs="Arial"/>
          <w:szCs w:val="22"/>
        </w:rPr>
      </w:pPr>
      <w:proofErr w:type="gramStart"/>
      <w:r>
        <w:t>des</w:t>
      </w:r>
      <w:proofErr w:type="gramEnd"/>
      <w:r>
        <w:t xml:space="preserve"> universités, des associations de recherche et des chercheurs et professionnels du domaine de la cybersécurité et de l</w:t>
      </w:r>
      <w:r w:rsidR="006433CF">
        <w:t>’</w:t>
      </w:r>
      <w:r>
        <w:t>infrastructure essentielle.</w:t>
      </w:r>
    </w:p>
    <w:p w:rsidR="003711AA" w:rsidRPr="00394626" w:rsidRDefault="003711AA" w:rsidP="006433CF">
      <w:pPr>
        <w:ind w:left="426" w:hanging="313"/>
        <w:rPr>
          <w:rFonts w:ascii="Calibri" w:hAnsi="Calibri"/>
        </w:rPr>
      </w:pPr>
      <w:r>
        <w:br/>
      </w:r>
      <w:r>
        <w:rPr>
          <w:b/>
        </w:rPr>
        <w:t>Le promoteur doit obtenir le consentement de RNCan avant de diffuser toute propriété intellectuelle hors du Canada et des États-Unis. S</w:t>
      </w:r>
      <w:r w:rsidR="006433CF">
        <w:rPr>
          <w:b/>
        </w:rPr>
        <w:t>’</w:t>
      </w:r>
      <w:r>
        <w:rPr>
          <w:b/>
        </w:rPr>
        <w:t>il n</w:t>
      </w:r>
      <w:r w:rsidR="006433CF">
        <w:rPr>
          <w:b/>
        </w:rPr>
        <w:t>’</w:t>
      </w:r>
      <w:r>
        <w:rPr>
          <w:b/>
        </w:rPr>
        <w:t>obtient pas le consentement de RNCan, il pourrait voir l</w:t>
      </w:r>
      <w:r w:rsidR="006433CF">
        <w:rPr>
          <w:b/>
        </w:rPr>
        <w:t>’</w:t>
      </w:r>
      <w:r>
        <w:rPr>
          <w:b/>
        </w:rPr>
        <w:t>accord de contribution résilié.</w:t>
      </w:r>
    </w:p>
    <w:p w:rsidR="002D4C35" w:rsidRPr="009F349D" w:rsidRDefault="002D4C35" w:rsidP="006433CF">
      <w:pPr>
        <w:rPr>
          <w:rFonts w:cs="Arial"/>
        </w:rPr>
      </w:pPr>
    </w:p>
    <w:p w:rsidR="001A60AB" w:rsidRPr="0014046B" w:rsidRDefault="002D4C35" w:rsidP="006433CF">
      <w:pPr>
        <w:numPr>
          <w:ilvl w:val="0"/>
          <w:numId w:val="1"/>
        </w:numPr>
        <w:tabs>
          <w:tab w:val="clear" w:pos="820"/>
          <w:tab w:val="num" w:pos="426"/>
        </w:tabs>
        <w:ind w:left="426" w:hanging="394"/>
        <w:rPr>
          <w:rFonts w:cs="Arial"/>
        </w:rPr>
      </w:pPr>
      <w:r>
        <w:t>Les accords de contribution comprendront des exigences concernant les activités de communication mixtes, comme des produits d</w:t>
      </w:r>
      <w:r w:rsidR="006433CF">
        <w:t>’</w:t>
      </w:r>
      <w:r>
        <w:t>information pour le public, des communiqués de presse, des annonces publiques, d</w:t>
      </w:r>
      <w:r w:rsidR="006433CF">
        <w:t>’</w:t>
      </w:r>
      <w:r>
        <w:t>autres événements mixtes, ainsi que les langues officielles.</w:t>
      </w:r>
    </w:p>
    <w:p w:rsidR="00FF1042" w:rsidRPr="009F349D" w:rsidRDefault="00FC319B" w:rsidP="006433CF">
      <w:pPr>
        <w:pStyle w:val="Heading1"/>
      </w:pPr>
      <w:bookmarkStart w:id="53" w:name="_Toc1718667"/>
      <w:bookmarkStart w:id="54" w:name="_Toc295427210"/>
      <w:bookmarkStart w:id="55" w:name="_Ref446578991"/>
      <w:bookmarkStart w:id="56" w:name="_Toc483488033"/>
      <w:r>
        <w:lastRenderedPageBreak/>
        <w:t>Confidentialité et sécurité de l</w:t>
      </w:r>
      <w:r w:rsidR="006433CF">
        <w:t>’</w:t>
      </w:r>
      <w:r>
        <w:t>information</w:t>
      </w:r>
      <w:bookmarkEnd w:id="53"/>
    </w:p>
    <w:p w:rsidR="00EC517D" w:rsidRDefault="00EC517D" w:rsidP="00726809">
      <w:pPr>
        <w:keepNext/>
        <w:rPr>
          <w:rFonts w:cs="Arial"/>
        </w:rPr>
      </w:pPr>
    </w:p>
    <w:p w:rsidR="006433CF" w:rsidRDefault="00FC319B" w:rsidP="006433CF">
      <w:r>
        <w:t xml:space="preserve">Selon le paragraphe 20(1) de la </w:t>
      </w:r>
      <w:r>
        <w:rPr>
          <w:i/>
        </w:rPr>
        <w:t>Loi sur l</w:t>
      </w:r>
      <w:r w:rsidR="006433CF">
        <w:rPr>
          <w:i/>
        </w:rPr>
        <w:t>’</w:t>
      </w:r>
      <w:r>
        <w:rPr>
          <w:i/>
        </w:rPr>
        <w:t>accès à l</w:t>
      </w:r>
      <w:r w:rsidR="006433CF">
        <w:rPr>
          <w:i/>
        </w:rPr>
        <w:t>’</w:t>
      </w:r>
      <w:r>
        <w:rPr>
          <w:i/>
        </w:rPr>
        <w:t>information</w:t>
      </w:r>
      <w:r>
        <w:t>, il est interdit à toute institution gouvernementale, dont RNCan, de divulguer des renseignements financiers, commerciaux, scientifiques ou techniques fournis à RNCan par un demandeur de projet qui les traite de manière confidentielle dans son propre établissement.</w:t>
      </w:r>
    </w:p>
    <w:p w:rsidR="00781263" w:rsidRPr="009F349D" w:rsidRDefault="00781263" w:rsidP="006433CF">
      <w:pPr>
        <w:rPr>
          <w:rFonts w:cs="Arial"/>
        </w:rPr>
      </w:pPr>
    </w:p>
    <w:p w:rsidR="006433CF" w:rsidRDefault="00FC319B" w:rsidP="006433CF">
      <w:r>
        <w:t>Ainsi, RNCan protégera les renseignements confidentiels du demandeur qu</w:t>
      </w:r>
      <w:r w:rsidR="006433CF">
        <w:t>’</w:t>
      </w:r>
      <w:r>
        <w:t>il a en sa possession dans la même mesure où le demandeur protège les renseignements confidentiels en question dans son propre établissement. Si le demandeur choisit de transmettre la proposition ou d</w:t>
      </w:r>
      <w:r w:rsidR="006433CF">
        <w:t>’</w:t>
      </w:r>
      <w:r>
        <w:t>autres renseignements confidentiels à RNCan par courriel, RNCan répondra à la proposition par courriel.</w:t>
      </w:r>
      <w:r w:rsidR="006433CF">
        <w:t xml:space="preserve"> </w:t>
      </w:r>
      <w:r>
        <w:t>Dans le même ordre d</w:t>
      </w:r>
      <w:r w:rsidR="006433CF">
        <w:t>’</w:t>
      </w:r>
      <w:r>
        <w:t>idées, si la correspondance du demandeur parvient à RNCan par courrier ordinaire, la réponse du Ministère lui parviendra par le même moyen.</w:t>
      </w:r>
      <w:r w:rsidR="006433CF">
        <w:t xml:space="preserve"> </w:t>
      </w:r>
      <w:r>
        <w:t>Toutefois, dans tous les cas, RNCan se servira du courriel pour écrire aux candidats concernant toutes les questions qui ne sont pas de nature confidentielle.</w:t>
      </w:r>
    </w:p>
    <w:p w:rsidR="00FC319B" w:rsidRPr="009F349D" w:rsidRDefault="00FC319B" w:rsidP="006433CF">
      <w:pPr>
        <w:rPr>
          <w:rFonts w:cs="Arial"/>
        </w:rPr>
      </w:pPr>
    </w:p>
    <w:p w:rsidR="00FC319B" w:rsidRDefault="00FC319B" w:rsidP="006433CF">
      <w:pPr>
        <w:rPr>
          <w:rStyle w:val="Hyperlink"/>
          <w:rFonts w:cs="Arial"/>
        </w:rPr>
      </w:pPr>
      <w:r>
        <w:t>RNCan reconnaît que le courriel n</w:t>
      </w:r>
      <w:r w:rsidR="006433CF">
        <w:t>’</w:t>
      </w:r>
      <w:r>
        <w:t>est pas un moyen de communication sécurisé, et ne peut donc pas garantir la sécurité des renseignements confidentiels transmis par courriel pendant l</w:t>
      </w:r>
      <w:r w:rsidR="006433CF">
        <w:t>’</w:t>
      </w:r>
      <w:r>
        <w:t>acheminement. Malgré tout, les demandeurs qui utilisent régulièrement le courriel pour communiquer des renseignements confidentiels dans leur propre organisation peuvent choisir d</w:t>
      </w:r>
      <w:r w:rsidR="006433CF">
        <w:t>’</w:t>
      </w:r>
      <w:r>
        <w:t>envoyer leur trousse de documents par courriel, à</w:t>
      </w:r>
      <w:r w:rsidR="006433CF">
        <w:t> :</w:t>
      </w:r>
      <w:r>
        <w:t xml:space="preserve"> </w:t>
      </w:r>
      <w:hyperlink r:id="rId20" w:history="1">
        <w:r w:rsidR="00196A17" w:rsidRPr="00C5701C">
          <w:rPr>
            <w:rStyle w:val="Hyperlink"/>
            <w:szCs w:val="22"/>
          </w:rPr>
          <w:t>nrcan.cceip-pciee.rncan@canada.ca</w:t>
        </w:r>
      </w:hyperlink>
    </w:p>
    <w:p w:rsidR="00343B75" w:rsidRPr="009F349D" w:rsidRDefault="00343B75" w:rsidP="006433CF">
      <w:pPr>
        <w:rPr>
          <w:rFonts w:cs="Arial"/>
        </w:rPr>
      </w:pPr>
    </w:p>
    <w:p w:rsidR="006433CF" w:rsidRDefault="00FC319B" w:rsidP="006433CF">
      <w:r>
        <w:t>Pour obtenir davantage de renseignements à ce sujet, veuillez voir l</w:t>
      </w:r>
      <w:r w:rsidR="006433CF">
        <w:t>’</w:t>
      </w:r>
      <w:r>
        <w:t xml:space="preserve">article 20 de la </w:t>
      </w:r>
      <w:r>
        <w:rPr>
          <w:i/>
        </w:rPr>
        <w:t>Loi sur l</w:t>
      </w:r>
      <w:r w:rsidR="006433CF">
        <w:rPr>
          <w:i/>
        </w:rPr>
        <w:t>’</w:t>
      </w:r>
      <w:r>
        <w:rPr>
          <w:i/>
        </w:rPr>
        <w:t>accès à l</w:t>
      </w:r>
      <w:r w:rsidR="006433CF">
        <w:rPr>
          <w:i/>
        </w:rPr>
        <w:t>’</w:t>
      </w:r>
      <w:r>
        <w:rPr>
          <w:i/>
        </w:rPr>
        <w:t>information</w:t>
      </w:r>
      <w:r>
        <w:t>.</w:t>
      </w:r>
      <w:r w:rsidR="006433CF">
        <w:t xml:space="preserve"> </w:t>
      </w:r>
      <w:bookmarkStart w:id="57" w:name="_GoBack"/>
      <w:bookmarkEnd w:id="57"/>
    </w:p>
    <w:bookmarkEnd w:id="54"/>
    <w:bookmarkEnd w:id="55"/>
    <w:bookmarkEnd w:id="56"/>
    <w:p w:rsidR="00FF1042" w:rsidRPr="009F349D" w:rsidRDefault="00FF1042" w:rsidP="006433CF">
      <w:pPr>
        <w:rPr>
          <w:rFonts w:cs="Arial"/>
        </w:rPr>
      </w:pPr>
    </w:p>
    <w:sectPr w:rsidR="00FF1042" w:rsidRPr="009F349D" w:rsidSect="00721589">
      <w:footerReference w:type="default" r:id="rId21"/>
      <w:pgSz w:w="12240" w:h="15840" w:code="1"/>
      <w:pgMar w:top="1440" w:right="1440" w:bottom="1440" w:left="1430" w:header="1440" w:footer="144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D4F" w:rsidRDefault="00AE5D4F">
      <w:r>
        <w:separator/>
      </w:r>
    </w:p>
  </w:endnote>
  <w:endnote w:type="continuationSeparator" w:id="0">
    <w:p w:rsidR="00AE5D4F" w:rsidRDefault="00AE5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XOLKQZ+TTE167A4D0t00">
    <w:altName w:val="TT E 16 7 A 4 D 0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Neue">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1E4" w:rsidRDefault="009621E4" w:rsidP="00CC0865">
    <w:pPr>
      <w:pStyle w:val="Footer"/>
      <w:jc w:val="center"/>
      <w:rPr>
        <w:rStyle w:val="PageNumber"/>
      </w:rPr>
    </w:pPr>
  </w:p>
  <w:p w:rsidR="009621E4" w:rsidRDefault="009621E4" w:rsidP="00CC0865">
    <w:pPr>
      <w:pStyle w:val="Footer"/>
      <w:jc w:val="center"/>
    </w:pPr>
    <w:r>
      <w:rPr>
        <w:rStyle w:val="PageNumber"/>
      </w:rPr>
      <w:fldChar w:fldCharType="begin"/>
    </w:r>
    <w:r>
      <w:rPr>
        <w:rStyle w:val="PageNumber"/>
      </w:rPr>
      <w:instrText xml:space="preserve"> PAGE </w:instrText>
    </w:r>
    <w:r>
      <w:rPr>
        <w:rStyle w:val="PageNumber"/>
      </w:rPr>
      <w:fldChar w:fldCharType="separate"/>
    </w:r>
    <w:r w:rsidR="006433CF">
      <w:rPr>
        <w:rStyle w:val="PageNumber"/>
        <w:noProof/>
      </w:rPr>
      <w:t>10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1E4" w:rsidRDefault="009621E4" w:rsidP="00F2702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B05" w:rsidRDefault="00AD3B0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1E4" w:rsidRDefault="009621E4" w:rsidP="00CC0865">
    <w:pPr>
      <w:pStyle w:val="Footer"/>
      <w:jc w:val="center"/>
      <w:rPr>
        <w:rStyle w:val="PageNumber"/>
      </w:rPr>
    </w:pPr>
  </w:p>
  <w:p w:rsidR="009621E4" w:rsidRDefault="009621E4" w:rsidP="00CC0865">
    <w:pPr>
      <w:pStyle w:val="Footer"/>
      <w:jc w:val="center"/>
    </w:pPr>
    <w:r>
      <w:rPr>
        <w:rStyle w:val="PageNumber"/>
      </w:rPr>
      <w:fldChar w:fldCharType="begin"/>
    </w:r>
    <w:r>
      <w:rPr>
        <w:rStyle w:val="PageNumber"/>
      </w:rPr>
      <w:instrText xml:space="preserve"> PAGE </w:instrText>
    </w:r>
    <w:r>
      <w:rPr>
        <w:rStyle w:val="PageNumber"/>
      </w:rPr>
      <w:fldChar w:fldCharType="separate"/>
    </w:r>
    <w:r w:rsidR="00196A17">
      <w:rPr>
        <w:rStyle w:val="PageNumber"/>
        <w:noProof/>
      </w:rPr>
      <w:t>10</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1E4" w:rsidRDefault="009621E4" w:rsidP="00125574">
    <w:pPr>
      <w:pStyle w:val="Footer"/>
      <w:ind w:left="-990"/>
    </w:pPr>
    <w:r>
      <w:tab/>
    </w:r>
  </w:p>
  <w:p w:rsidR="009621E4" w:rsidRPr="00125574" w:rsidRDefault="009621E4" w:rsidP="00384DA5">
    <w:pPr>
      <w:pStyle w:val="Footer"/>
      <w:ind w:left="-990"/>
      <w:jc w:val="center"/>
      <w:rPr>
        <w:rFonts w:ascii="Tahoma" w:hAnsi="Tahoma" w:cs="Tahoma"/>
        <w:i/>
        <w:sz w:val="20"/>
        <w:szCs w:val="20"/>
      </w:rPr>
    </w:pPr>
    <w:r>
      <w:rPr>
        <w:rStyle w:val="PageNumber"/>
      </w:rPr>
      <w:fldChar w:fldCharType="begin"/>
    </w:r>
    <w:r>
      <w:rPr>
        <w:rStyle w:val="PageNumber"/>
      </w:rPr>
      <w:instrText xml:space="preserve"> PAGE </w:instrText>
    </w:r>
    <w:r>
      <w:rPr>
        <w:rStyle w:val="PageNumber"/>
      </w:rPr>
      <w:fldChar w:fldCharType="separate"/>
    </w:r>
    <w:r w:rsidR="00196A17">
      <w:rPr>
        <w:rStyle w:val="PageNumber"/>
        <w:noProof/>
      </w:rPr>
      <w:t>i</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1E4" w:rsidRDefault="009621E4" w:rsidP="00125574">
    <w:pPr>
      <w:pStyle w:val="Footer"/>
      <w:ind w:left="-990"/>
    </w:pPr>
    <w:r>
      <w:tab/>
    </w:r>
  </w:p>
  <w:p w:rsidR="009621E4" w:rsidRPr="00125574" w:rsidRDefault="009621E4" w:rsidP="00384DA5">
    <w:pPr>
      <w:pStyle w:val="Footer"/>
      <w:ind w:left="-990"/>
      <w:jc w:val="center"/>
      <w:rPr>
        <w:rFonts w:ascii="Tahoma" w:hAnsi="Tahoma" w:cs="Tahoma"/>
        <w:i/>
        <w:sz w:val="20"/>
        <w:szCs w:val="20"/>
      </w:rPr>
    </w:pPr>
    <w:r>
      <w:rPr>
        <w:rStyle w:val="PageNumber"/>
      </w:rPr>
      <w:fldChar w:fldCharType="begin"/>
    </w:r>
    <w:r>
      <w:rPr>
        <w:rStyle w:val="PageNumber"/>
      </w:rPr>
      <w:instrText xml:space="preserve"> PAGE </w:instrText>
    </w:r>
    <w:r>
      <w:rPr>
        <w:rStyle w:val="PageNumber"/>
      </w:rPr>
      <w:fldChar w:fldCharType="separate"/>
    </w:r>
    <w:r w:rsidR="00196A17">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D4F" w:rsidRDefault="00AE5D4F">
      <w:r>
        <w:separator/>
      </w:r>
    </w:p>
  </w:footnote>
  <w:footnote w:type="continuationSeparator" w:id="0">
    <w:p w:rsidR="00AE5D4F" w:rsidRDefault="00AE5D4F">
      <w:r>
        <w:continuationSeparator/>
      </w:r>
    </w:p>
  </w:footnote>
  <w:footnote w:id="1">
    <w:p w:rsidR="009621E4" w:rsidRPr="00B21A01" w:rsidRDefault="009621E4">
      <w:pPr>
        <w:pStyle w:val="FootnoteText"/>
        <w:rPr>
          <w:sz w:val="16"/>
          <w:szCs w:val="16"/>
        </w:rPr>
      </w:pPr>
      <w:r>
        <w:rPr>
          <w:rStyle w:val="FootnoteReference"/>
          <w:sz w:val="16"/>
          <w:szCs w:val="16"/>
        </w:rPr>
        <w:footnoteRef/>
      </w:r>
      <w:r>
        <w:rPr>
          <w:sz w:val="16"/>
          <w:szCs w:val="16"/>
        </w:rPr>
        <w:t xml:space="preserve"> </w:t>
      </w:r>
      <w:hyperlink r:id="rId1" w:history="1">
        <w:r>
          <w:rPr>
            <w:rStyle w:val="Hyperlink"/>
            <w:sz w:val="16"/>
            <w:szCs w:val="16"/>
          </w:rPr>
          <w:t>https://www.njc-cnm.gc.ca/s3/fr</w:t>
        </w:r>
      </w:hyperlink>
    </w:p>
  </w:footnote>
  <w:footnote w:id="2">
    <w:p w:rsidR="009621E4" w:rsidRPr="00B21A01" w:rsidRDefault="009621E4">
      <w:pPr>
        <w:pStyle w:val="FootnoteText"/>
        <w:rPr>
          <w:sz w:val="16"/>
          <w:szCs w:val="16"/>
        </w:rPr>
      </w:pPr>
      <w:r>
        <w:rPr>
          <w:rStyle w:val="FootnoteReference"/>
          <w:sz w:val="16"/>
          <w:szCs w:val="16"/>
        </w:rPr>
        <w:footnoteRef/>
      </w:r>
      <w:r>
        <w:rPr>
          <w:sz w:val="16"/>
          <w:szCs w:val="16"/>
        </w:rPr>
        <w:t xml:space="preserve"> Un examen additionnel pourrait être réalisé pour déterminer si ces dépenses sont admissibles à un remboursement et, si c</w:t>
      </w:r>
      <w:r w:rsidR="006433CF">
        <w:rPr>
          <w:sz w:val="16"/>
          <w:szCs w:val="16"/>
        </w:rPr>
        <w:t>’</w:t>
      </w:r>
      <w:r>
        <w:rPr>
          <w:sz w:val="16"/>
          <w:szCs w:val="16"/>
        </w:rPr>
        <w:t>est le cas, pour évaluer le pourcentage maximum de remboursement permis.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B05" w:rsidRDefault="00AD3B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B05" w:rsidRDefault="00AD3B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B05" w:rsidRDefault="00AD3B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1646316"/>
    <w:lvl w:ilvl="0">
      <w:start w:val="1"/>
      <w:numFmt w:val="bullet"/>
      <w:pStyle w:val="ListBullet"/>
      <w:lvlText w:val=""/>
      <w:lvlJc w:val="left"/>
      <w:pPr>
        <w:tabs>
          <w:tab w:val="num" w:pos="360"/>
        </w:tabs>
        <w:ind w:left="360" w:hanging="360"/>
      </w:pPr>
      <w:rPr>
        <w:rFonts w:ascii="Symbol" w:hAnsi="Symbol" w:hint="default"/>
        <w:lang w:val="en-CA"/>
      </w:rPr>
    </w:lvl>
  </w:abstractNum>
  <w:abstractNum w:abstractNumId="1" w15:restartNumberingAfterBreak="0">
    <w:nsid w:val="07881768"/>
    <w:multiLevelType w:val="hybridMultilevel"/>
    <w:tmpl w:val="5C86D9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3BE271C"/>
    <w:multiLevelType w:val="hybridMultilevel"/>
    <w:tmpl w:val="301E6E46"/>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338947F3"/>
    <w:multiLevelType w:val="multilevel"/>
    <w:tmpl w:val="4DE00F6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18"/>
        </w:tabs>
        <w:ind w:left="718" w:hanging="718"/>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1430"/>
        </w:tabs>
        <w:ind w:left="143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33AC19A2"/>
    <w:multiLevelType w:val="hybridMultilevel"/>
    <w:tmpl w:val="077EAC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D006748"/>
    <w:multiLevelType w:val="hybridMultilevel"/>
    <w:tmpl w:val="272878F2"/>
    <w:lvl w:ilvl="0" w:tplc="10090001">
      <w:start w:val="1"/>
      <w:numFmt w:val="bullet"/>
      <w:lvlText w:val=""/>
      <w:lvlJc w:val="left"/>
      <w:pPr>
        <w:tabs>
          <w:tab w:val="num" w:pos="568"/>
        </w:tabs>
        <w:ind w:left="568" w:hanging="284"/>
      </w:pPr>
      <w:rPr>
        <w:rFonts w:ascii="Symbol" w:hAnsi="Symbol" w:hint="default"/>
      </w:rPr>
    </w:lvl>
    <w:lvl w:ilvl="1" w:tplc="0490763C">
      <w:numFmt w:val="bullet"/>
      <w:lvlText w:val="-"/>
      <w:lvlJc w:val="left"/>
      <w:pPr>
        <w:tabs>
          <w:tab w:val="num" w:pos="1724"/>
        </w:tabs>
        <w:ind w:left="1724" w:hanging="360"/>
      </w:pPr>
      <w:rPr>
        <w:rFonts w:ascii="Times New Roman" w:eastAsia="Times New Roman" w:hAnsi="Times New Roman" w:hint="default"/>
      </w:rPr>
    </w:lvl>
    <w:lvl w:ilvl="2" w:tplc="04090005">
      <w:start w:val="1"/>
      <w:numFmt w:val="bullet"/>
      <w:lvlText w:val=""/>
      <w:lvlJc w:val="left"/>
      <w:pPr>
        <w:tabs>
          <w:tab w:val="num" w:pos="2444"/>
        </w:tabs>
        <w:ind w:left="2444" w:hanging="360"/>
      </w:pPr>
      <w:rPr>
        <w:rFonts w:ascii="Wingdings" w:hAnsi="Wingdings" w:hint="default"/>
      </w:rPr>
    </w:lvl>
    <w:lvl w:ilvl="3" w:tplc="0409000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hint="default"/>
      </w:rPr>
    </w:lvl>
    <w:lvl w:ilvl="5" w:tplc="04090005">
      <w:start w:val="1"/>
      <w:numFmt w:val="bullet"/>
      <w:lvlText w:val=""/>
      <w:lvlJc w:val="left"/>
      <w:pPr>
        <w:tabs>
          <w:tab w:val="num" w:pos="4604"/>
        </w:tabs>
        <w:ind w:left="4604" w:hanging="360"/>
      </w:pPr>
      <w:rPr>
        <w:rFonts w:ascii="Wingdings" w:hAnsi="Wingdings" w:hint="default"/>
      </w:rPr>
    </w:lvl>
    <w:lvl w:ilvl="6" w:tplc="04090001">
      <w:start w:val="1"/>
      <w:numFmt w:val="bullet"/>
      <w:lvlText w:val=""/>
      <w:lvlJc w:val="left"/>
      <w:pPr>
        <w:tabs>
          <w:tab w:val="num" w:pos="5324"/>
        </w:tabs>
        <w:ind w:left="5324" w:hanging="360"/>
      </w:pPr>
      <w:rPr>
        <w:rFonts w:ascii="Symbol" w:hAnsi="Symbol" w:hint="default"/>
      </w:rPr>
    </w:lvl>
    <w:lvl w:ilvl="7" w:tplc="04090003">
      <w:start w:val="1"/>
      <w:numFmt w:val="bullet"/>
      <w:lvlText w:val="o"/>
      <w:lvlJc w:val="left"/>
      <w:pPr>
        <w:tabs>
          <w:tab w:val="num" w:pos="6044"/>
        </w:tabs>
        <w:ind w:left="6044" w:hanging="360"/>
      </w:pPr>
      <w:rPr>
        <w:rFonts w:ascii="Courier New" w:hAnsi="Courier New" w:hint="default"/>
      </w:rPr>
    </w:lvl>
    <w:lvl w:ilvl="8" w:tplc="04090005">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4EC4095F"/>
    <w:multiLevelType w:val="hybridMultilevel"/>
    <w:tmpl w:val="6BE21712"/>
    <w:lvl w:ilvl="0" w:tplc="10090001">
      <w:start w:val="1"/>
      <w:numFmt w:val="bullet"/>
      <w:lvlText w:val=""/>
      <w:lvlJc w:val="left"/>
      <w:pPr>
        <w:tabs>
          <w:tab w:val="num" w:pos="568"/>
        </w:tabs>
        <w:ind w:left="568" w:hanging="284"/>
      </w:pPr>
      <w:rPr>
        <w:rFonts w:ascii="Symbol" w:hAnsi="Symbol" w:hint="default"/>
      </w:rPr>
    </w:lvl>
    <w:lvl w:ilvl="1" w:tplc="04090003">
      <w:start w:val="1"/>
      <w:numFmt w:val="bullet"/>
      <w:lvlText w:val="o"/>
      <w:lvlJc w:val="left"/>
      <w:pPr>
        <w:tabs>
          <w:tab w:val="num" w:pos="1724"/>
        </w:tabs>
        <w:ind w:left="1724" w:hanging="360"/>
      </w:pPr>
      <w:rPr>
        <w:rFonts w:ascii="Courier New" w:hAnsi="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hint="default"/>
      </w:rPr>
    </w:lvl>
    <w:lvl w:ilvl="5" w:tplc="04090005">
      <w:start w:val="1"/>
      <w:numFmt w:val="bullet"/>
      <w:lvlText w:val=""/>
      <w:lvlJc w:val="left"/>
      <w:pPr>
        <w:tabs>
          <w:tab w:val="num" w:pos="4604"/>
        </w:tabs>
        <w:ind w:left="4604" w:hanging="360"/>
      </w:pPr>
      <w:rPr>
        <w:rFonts w:ascii="Wingdings" w:hAnsi="Wingdings" w:hint="default"/>
      </w:rPr>
    </w:lvl>
    <w:lvl w:ilvl="6" w:tplc="04090001">
      <w:start w:val="1"/>
      <w:numFmt w:val="bullet"/>
      <w:lvlText w:val=""/>
      <w:lvlJc w:val="left"/>
      <w:pPr>
        <w:tabs>
          <w:tab w:val="num" w:pos="5324"/>
        </w:tabs>
        <w:ind w:left="5324" w:hanging="360"/>
      </w:pPr>
      <w:rPr>
        <w:rFonts w:ascii="Symbol" w:hAnsi="Symbol" w:hint="default"/>
      </w:rPr>
    </w:lvl>
    <w:lvl w:ilvl="7" w:tplc="04090003">
      <w:start w:val="1"/>
      <w:numFmt w:val="bullet"/>
      <w:lvlText w:val="o"/>
      <w:lvlJc w:val="left"/>
      <w:pPr>
        <w:tabs>
          <w:tab w:val="num" w:pos="6044"/>
        </w:tabs>
        <w:ind w:left="6044" w:hanging="360"/>
      </w:pPr>
      <w:rPr>
        <w:rFonts w:ascii="Courier New" w:hAnsi="Courier New" w:hint="default"/>
      </w:rPr>
    </w:lvl>
    <w:lvl w:ilvl="8" w:tplc="04090005">
      <w:start w:val="1"/>
      <w:numFmt w:val="bullet"/>
      <w:lvlText w:val=""/>
      <w:lvlJc w:val="left"/>
      <w:pPr>
        <w:tabs>
          <w:tab w:val="num" w:pos="6764"/>
        </w:tabs>
        <w:ind w:left="6764" w:hanging="360"/>
      </w:pPr>
      <w:rPr>
        <w:rFonts w:ascii="Wingdings" w:hAnsi="Wingdings" w:hint="default"/>
      </w:rPr>
    </w:lvl>
  </w:abstractNum>
  <w:abstractNum w:abstractNumId="7" w15:restartNumberingAfterBreak="0">
    <w:nsid w:val="60944F91"/>
    <w:multiLevelType w:val="hybridMultilevel"/>
    <w:tmpl w:val="737A8194"/>
    <w:lvl w:ilvl="0" w:tplc="10090001">
      <w:start w:val="1"/>
      <w:numFmt w:val="bullet"/>
      <w:lvlText w:val=""/>
      <w:lvlJc w:val="left"/>
      <w:pPr>
        <w:ind w:left="927" w:hanging="360"/>
      </w:pPr>
      <w:rPr>
        <w:rFonts w:ascii="Symbol" w:hAnsi="Symbol" w:hint="default"/>
      </w:rPr>
    </w:lvl>
    <w:lvl w:ilvl="1" w:tplc="10090003" w:tentative="1">
      <w:start w:val="1"/>
      <w:numFmt w:val="bullet"/>
      <w:lvlText w:val="o"/>
      <w:lvlJc w:val="left"/>
      <w:pPr>
        <w:ind w:left="1647" w:hanging="360"/>
      </w:pPr>
      <w:rPr>
        <w:rFonts w:ascii="Courier New" w:hAnsi="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8" w15:restartNumberingAfterBreak="0">
    <w:nsid w:val="62291D06"/>
    <w:multiLevelType w:val="hybridMultilevel"/>
    <w:tmpl w:val="2A92740E"/>
    <w:lvl w:ilvl="0" w:tplc="DF7AD790">
      <w:start w:val="1"/>
      <w:numFmt w:val="bullet"/>
      <w:pStyle w:val="ListParagraph"/>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3DA65F9"/>
    <w:multiLevelType w:val="hybridMultilevel"/>
    <w:tmpl w:val="B53AFB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2D1173E"/>
    <w:multiLevelType w:val="hybridMultilevel"/>
    <w:tmpl w:val="3704FD5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3263890"/>
    <w:multiLevelType w:val="hybridMultilevel"/>
    <w:tmpl w:val="733AFA20"/>
    <w:lvl w:ilvl="0" w:tplc="9BE63604">
      <w:start w:val="1"/>
      <w:numFmt w:val="bullet"/>
      <w:lvlText w:val=""/>
      <w:lvlJc w:val="left"/>
      <w:pPr>
        <w:tabs>
          <w:tab w:val="num" w:pos="820"/>
        </w:tabs>
        <w:ind w:left="820" w:hanging="244"/>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num>
  <w:num w:numId="3">
    <w:abstractNumId w:val="8"/>
  </w:num>
  <w:num w:numId="4">
    <w:abstractNumId w:val="3"/>
  </w:num>
  <w:num w:numId="5">
    <w:abstractNumId w:val="7"/>
  </w:num>
  <w:num w:numId="6">
    <w:abstractNumId w:val="9"/>
  </w:num>
  <w:num w:numId="7">
    <w:abstractNumId w:val="5"/>
  </w:num>
  <w:num w:numId="8">
    <w:abstractNumId w:val="6"/>
  </w:num>
  <w:num w:numId="9">
    <w:abstractNumId w:val="10"/>
  </w:num>
  <w:num w:numId="10">
    <w:abstractNumId w:val="1"/>
  </w:num>
  <w:num w:numId="11">
    <w:abstractNumId w:val="4"/>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fr-CA" w:vendorID="64" w:dllVersion="6" w:nlCheck="1" w:checkStyle="0"/>
  <w:activeWritingStyle w:appName="MSWord" w:lang="en-US" w:vendorID="64" w:dllVersion="6" w:nlCheck="1" w:checkStyle="1"/>
  <w:activeWritingStyle w:appName="MSWord" w:lang="en-CA" w:vendorID="64" w:dllVersion="6" w:nlCheck="1" w:checkStyle="1"/>
  <w:activeWritingStyle w:appName="MSWord" w:lang="en-GB" w:vendorID="64" w:dllVersion="6" w:nlCheck="1" w:checkStyle="1"/>
  <w:activeWritingStyle w:appName="MSWord" w:lang="fr-CA" w:vendorID="64" w:dllVersion="0" w:nlCheck="1" w:checkStyle="0"/>
  <w:activeWritingStyle w:appName="MSWord" w:lang="fr-CA"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hyphenationZone w:val="425"/>
  <w:evenAndOddHeaders/>
  <w:drawingGridHorizontalSpacing w:val="110"/>
  <w:drawingGridVerticalSpacing w:val="299"/>
  <w:displayHorizont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821"/>
    <w:rsid w:val="00000DCF"/>
    <w:rsid w:val="00003BA8"/>
    <w:rsid w:val="000056B3"/>
    <w:rsid w:val="00010F7A"/>
    <w:rsid w:val="00011935"/>
    <w:rsid w:val="00011E53"/>
    <w:rsid w:val="00012749"/>
    <w:rsid w:val="00012CF8"/>
    <w:rsid w:val="00013832"/>
    <w:rsid w:val="0001384D"/>
    <w:rsid w:val="000142E8"/>
    <w:rsid w:val="000148B0"/>
    <w:rsid w:val="0001498E"/>
    <w:rsid w:val="0001573D"/>
    <w:rsid w:val="00015841"/>
    <w:rsid w:val="000173A6"/>
    <w:rsid w:val="000200FE"/>
    <w:rsid w:val="00020553"/>
    <w:rsid w:val="000224C8"/>
    <w:rsid w:val="000238EE"/>
    <w:rsid w:val="00024B9F"/>
    <w:rsid w:val="000263C3"/>
    <w:rsid w:val="00026977"/>
    <w:rsid w:val="00026CAB"/>
    <w:rsid w:val="0002744B"/>
    <w:rsid w:val="00027853"/>
    <w:rsid w:val="000306B5"/>
    <w:rsid w:val="00030703"/>
    <w:rsid w:val="00035629"/>
    <w:rsid w:val="00035DD4"/>
    <w:rsid w:val="000366B5"/>
    <w:rsid w:val="00037231"/>
    <w:rsid w:val="000373BF"/>
    <w:rsid w:val="00037F2B"/>
    <w:rsid w:val="00042791"/>
    <w:rsid w:val="00043695"/>
    <w:rsid w:val="000438B7"/>
    <w:rsid w:val="0004398C"/>
    <w:rsid w:val="000459F3"/>
    <w:rsid w:val="0004633C"/>
    <w:rsid w:val="000473FE"/>
    <w:rsid w:val="000506D4"/>
    <w:rsid w:val="00050B2B"/>
    <w:rsid w:val="00051110"/>
    <w:rsid w:val="0005201D"/>
    <w:rsid w:val="000541C5"/>
    <w:rsid w:val="0005477F"/>
    <w:rsid w:val="00055B8E"/>
    <w:rsid w:val="00057FB3"/>
    <w:rsid w:val="0006388E"/>
    <w:rsid w:val="0006415B"/>
    <w:rsid w:val="00064A94"/>
    <w:rsid w:val="00064BF1"/>
    <w:rsid w:val="00065200"/>
    <w:rsid w:val="00066638"/>
    <w:rsid w:val="00066766"/>
    <w:rsid w:val="000706F5"/>
    <w:rsid w:val="0007153A"/>
    <w:rsid w:val="00071598"/>
    <w:rsid w:val="000715D2"/>
    <w:rsid w:val="0007189E"/>
    <w:rsid w:val="00071FB5"/>
    <w:rsid w:val="0007434B"/>
    <w:rsid w:val="0007498A"/>
    <w:rsid w:val="00075FB8"/>
    <w:rsid w:val="000761F3"/>
    <w:rsid w:val="00080018"/>
    <w:rsid w:val="00083B22"/>
    <w:rsid w:val="00084A1A"/>
    <w:rsid w:val="00085C57"/>
    <w:rsid w:val="00085DC1"/>
    <w:rsid w:val="0008617B"/>
    <w:rsid w:val="00086E30"/>
    <w:rsid w:val="000906BE"/>
    <w:rsid w:val="00091394"/>
    <w:rsid w:val="00092A2C"/>
    <w:rsid w:val="00092CB0"/>
    <w:rsid w:val="0009321E"/>
    <w:rsid w:val="00093986"/>
    <w:rsid w:val="00094AEA"/>
    <w:rsid w:val="00094CD0"/>
    <w:rsid w:val="000956A2"/>
    <w:rsid w:val="00096B84"/>
    <w:rsid w:val="00097FB3"/>
    <w:rsid w:val="000A0D2B"/>
    <w:rsid w:val="000A15C4"/>
    <w:rsid w:val="000A19EE"/>
    <w:rsid w:val="000A476D"/>
    <w:rsid w:val="000A4DC4"/>
    <w:rsid w:val="000A5F52"/>
    <w:rsid w:val="000A5F76"/>
    <w:rsid w:val="000A752A"/>
    <w:rsid w:val="000A7FCC"/>
    <w:rsid w:val="000B151A"/>
    <w:rsid w:val="000B23FC"/>
    <w:rsid w:val="000B2832"/>
    <w:rsid w:val="000B2CA1"/>
    <w:rsid w:val="000C0F78"/>
    <w:rsid w:val="000C1A13"/>
    <w:rsid w:val="000C3E6D"/>
    <w:rsid w:val="000C3FD9"/>
    <w:rsid w:val="000C4E2C"/>
    <w:rsid w:val="000C5548"/>
    <w:rsid w:val="000C5E91"/>
    <w:rsid w:val="000C78BB"/>
    <w:rsid w:val="000D067D"/>
    <w:rsid w:val="000D0A3F"/>
    <w:rsid w:val="000D28FD"/>
    <w:rsid w:val="000D455B"/>
    <w:rsid w:val="000D555B"/>
    <w:rsid w:val="000D56EF"/>
    <w:rsid w:val="000D65C4"/>
    <w:rsid w:val="000D6DE6"/>
    <w:rsid w:val="000D77DD"/>
    <w:rsid w:val="000E086B"/>
    <w:rsid w:val="000E099B"/>
    <w:rsid w:val="000E1553"/>
    <w:rsid w:val="000E2165"/>
    <w:rsid w:val="000E314F"/>
    <w:rsid w:val="000E3B19"/>
    <w:rsid w:val="000E5064"/>
    <w:rsid w:val="000E6CC0"/>
    <w:rsid w:val="000F00A2"/>
    <w:rsid w:val="000F1A9E"/>
    <w:rsid w:val="000F3C0E"/>
    <w:rsid w:val="000F5221"/>
    <w:rsid w:val="000F6466"/>
    <w:rsid w:val="000F679C"/>
    <w:rsid w:val="000F6FC8"/>
    <w:rsid w:val="00100621"/>
    <w:rsid w:val="0010130E"/>
    <w:rsid w:val="001029D3"/>
    <w:rsid w:val="001053F0"/>
    <w:rsid w:val="00106CE3"/>
    <w:rsid w:val="00107D70"/>
    <w:rsid w:val="0011234D"/>
    <w:rsid w:val="001128EA"/>
    <w:rsid w:val="00112B66"/>
    <w:rsid w:val="00115103"/>
    <w:rsid w:val="0011675A"/>
    <w:rsid w:val="00116CBA"/>
    <w:rsid w:val="001177CD"/>
    <w:rsid w:val="0012058F"/>
    <w:rsid w:val="0012125B"/>
    <w:rsid w:val="00123D21"/>
    <w:rsid w:val="00123E7D"/>
    <w:rsid w:val="00125574"/>
    <w:rsid w:val="00125DA0"/>
    <w:rsid w:val="001269CC"/>
    <w:rsid w:val="00127054"/>
    <w:rsid w:val="00131E6F"/>
    <w:rsid w:val="00133D3A"/>
    <w:rsid w:val="001362B0"/>
    <w:rsid w:val="00137898"/>
    <w:rsid w:val="0014046B"/>
    <w:rsid w:val="00144374"/>
    <w:rsid w:val="00144647"/>
    <w:rsid w:val="001455AE"/>
    <w:rsid w:val="001472E1"/>
    <w:rsid w:val="00147701"/>
    <w:rsid w:val="001477D8"/>
    <w:rsid w:val="0015040F"/>
    <w:rsid w:val="00151E8D"/>
    <w:rsid w:val="001525D9"/>
    <w:rsid w:val="001543ED"/>
    <w:rsid w:val="00155548"/>
    <w:rsid w:val="00155752"/>
    <w:rsid w:val="001565FA"/>
    <w:rsid w:val="00163D7A"/>
    <w:rsid w:val="001640A3"/>
    <w:rsid w:val="00165835"/>
    <w:rsid w:val="00166046"/>
    <w:rsid w:val="001660F4"/>
    <w:rsid w:val="00166D38"/>
    <w:rsid w:val="0016740C"/>
    <w:rsid w:val="00167E74"/>
    <w:rsid w:val="001709A4"/>
    <w:rsid w:val="001709D3"/>
    <w:rsid w:val="0017177F"/>
    <w:rsid w:val="001726AE"/>
    <w:rsid w:val="0017447A"/>
    <w:rsid w:val="00174D72"/>
    <w:rsid w:val="00175BCC"/>
    <w:rsid w:val="0017619C"/>
    <w:rsid w:val="0017650B"/>
    <w:rsid w:val="001769CB"/>
    <w:rsid w:val="00176C1F"/>
    <w:rsid w:val="00177FBB"/>
    <w:rsid w:val="0018020F"/>
    <w:rsid w:val="00180B9F"/>
    <w:rsid w:val="001835E1"/>
    <w:rsid w:val="00184458"/>
    <w:rsid w:val="00185920"/>
    <w:rsid w:val="00186912"/>
    <w:rsid w:val="00186AB9"/>
    <w:rsid w:val="001905F1"/>
    <w:rsid w:val="00192BDA"/>
    <w:rsid w:val="00193834"/>
    <w:rsid w:val="0019384B"/>
    <w:rsid w:val="00193A5C"/>
    <w:rsid w:val="001953F3"/>
    <w:rsid w:val="00195832"/>
    <w:rsid w:val="00196A17"/>
    <w:rsid w:val="00197B50"/>
    <w:rsid w:val="001A03CA"/>
    <w:rsid w:val="001A1948"/>
    <w:rsid w:val="001A2197"/>
    <w:rsid w:val="001A3380"/>
    <w:rsid w:val="001A3E26"/>
    <w:rsid w:val="001A5349"/>
    <w:rsid w:val="001A573D"/>
    <w:rsid w:val="001A5ED7"/>
    <w:rsid w:val="001A60AB"/>
    <w:rsid w:val="001A6CEA"/>
    <w:rsid w:val="001B1216"/>
    <w:rsid w:val="001B22EB"/>
    <w:rsid w:val="001B25CE"/>
    <w:rsid w:val="001B38CD"/>
    <w:rsid w:val="001B4470"/>
    <w:rsid w:val="001B4E4D"/>
    <w:rsid w:val="001B5EAB"/>
    <w:rsid w:val="001B73CC"/>
    <w:rsid w:val="001C0EB8"/>
    <w:rsid w:val="001C2770"/>
    <w:rsid w:val="001C3486"/>
    <w:rsid w:val="001C3E32"/>
    <w:rsid w:val="001C4AD2"/>
    <w:rsid w:val="001C4B55"/>
    <w:rsid w:val="001C511F"/>
    <w:rsid w:val="001C5795"/>
    <w:rsid w:val="001C6C9B"/>
    <w:rsid w:val="001D0A38"/>
    <w:rsid w:val="001D0B54"/>
    <w:rsid w:val="001D10F1"/>
    <w:rsid w:val="001D13C3"/>
    <w:rsid w:val="001D29DF"/>
    <w:rsid w:val="001D4797"/>
    <w:rsid w:val="001D4EAD"/>
    <w:rsid w:val="001D5338"/>
    <w:rsid w:val="001D6E26"/>
    <w:rsid w:val="001D7575"/>
    <w:rsid w:val="001E433C"/>
    <w:rsid w:val="001E4399"/>
    <w:rsid w:val="001E4744"/>
    <w:rsid w:val="001E7B99"/>
    <w:rsid w:val="001F21CD"/>
    <w:rsid w:val="001F2E73"/>
    <w:rsid w:val="001F2E91"/>
    <w:rsid w:val="001F37D7"/>
    <w:rsid w:val="001F44E3"/>
    <w:rsid w:val="001F4AAE"/>
    <w:rsid w:val="001F738A"/>
    <w:rsid w:val="0020084E"/>
    <w:rsid w:val="0020123E"/>
    <w:rsid w:val="00201288"/>
    <w:rsid w:val="00202098"/>
    <w:rsid w:val="00202687"/>
    <w:rsid w:val="00202C5B"/>
    <w:rsid w:val="00202D60"/>
    <w:rsid w:val="00203206"/>
    <w:rsid w:val="002036EA"/>
    <w:rsid w:val="002040B1"/>
    <w:rsid w:val="00204FF9"/>
    <w:rsid w:val="00205A88"/>
    <w:rsid w:val="00207F41"/>
    <w:rsid w:val="002100E1"/>
    <w:rsid w:val="002119B0"/>
    <w:rsid w:val="00211A54"/>
    <w:rsid w:val="00213A25"/>
    <w:rsid w:val="00214C07"/>
    <w:rsid w:val="00215F21"/>
    <w:rsid w:val="002163BE"/>
    <w:rsid w:val="0021696A"/>
    <w:rsid w:val="00216F75"/>
    <w:rsid w:val="00217436"/>
    <w:rsid w:val="00217C05"/>
    <w:rsid w:val="002202ED"/>
    <w:rsid w:val="002232E3"/>
    <w:rsid w:val="00224836"/>
    <w:rsid w:val="002264AF"/>
    <w:rsid w:val="002267D4"/>
    <w:rsid w:val="00227C0C"/>
    <w:rsid w:val="00230989"/>
    <w:rsid w:val="002315A6"/>
    <w:rsid w:val="00235242"/>
    <w:rsid w:val="00235D45"/>
    <w:rsid w:val="00236D38"/>
    <w:rsid w:val="00237B71"/>
    <w:rsid w:val="00240772"/>
    <w:rsid w:val="002417AE"/>
    <w:rsid w:val="00242058"/>
    <w:rsid w:val="00242196"/>
    <w:rsid w:val="002427F0"/>
    <w:rsid w:val="00242C92"/>
    <w:rsid w:val="00243409"/>
    <w:rsid w:val="00244A71"/>
    <w:rsid w:val="00245454"/>
    <w:rsid w:val="0024656A"/>
    <w:rsid w:val="00247038"/>
    <w:rsid w:val="00247414"/>
    <w:rsid w:val="00250013"/>
    <w:rsid w:val="002513DC"/>
    <w:rsid w:val="00253704"/>
    <w:rsid w:val="00253A1D"/>
    <w:rsid w:val="00253E6A"/>
    <w:rsid w:val="00254A38"/>
    <w:rsid w:val="00261D58"/>
    <w:rsid w:val="0026202B"/>
    <w:rsid w:val="002624D4"/>
    <w:rsid w:val="00262B3C"/>
    <w:rsid w:val="0026344C"/>
    <w:rsid w:val="00263815"/>
    <w:rsid w:val="00263C93"/>
    <w:rsid w:val="00263DE3"/>
    <w:rsid w:val="00266063"/>
    <w:rsid w:val="0026665F"/>
    <w:rsid w:val="002670FA"/>
    <w:rsid w:val="002671A8"/>
    <w:rsid w:val="00267EEB"/>
    <w:rsid w:val="00273420"/>
    <w:rsid w:val="00273454"/>
    <w:rsid w:val="002739A2"/>
    <w:rsid w:val="00273B54"/>
    <w:rsid w:val="00274F80"/>
    <w:rsid w:val="002766B3"/>
    <w:rsid w:val="00277B22"/>
    <w:rsid w:val="00284391"/>
    <w:rsid w:val="0028485B"/>
    <w:rsid w:val="00284E93"/>
    <w:rsid w:val="00285F65"/>
    <w:rsid w:val="002860AF"/>
    <w:rsid w:val="00286DBA"/>
    <w:rsid w:val="00286F5B"/>
    <w:rsid w:val="002872B9"/>
    <w:rsid w:val="002912D9"/>
    <w:rsid w:val="00292471"/>
    <w:rsid w:val="0029332D"/>
    <w:rsid w:val="0029377F"/>
    <w:rsid w:val="00294AA5"/>
    <w:rsid w:val="00295599"/>
    <w:rsid w:val="00296348"/>
    <w:rsid w:val="00296DEB"/>
    <w:rsid w:val="00297785"/>
    <w:rsid w:val="002978F2"/>
    <w:rsid w:val="002A4294"/>
    <w:rsid w:val="002A47F3"/>
    <w:rsid w:val="002A5D0F"/>
    <w:rsid w:val="002A5D7B"/>
    <w:rsid w:val="002A7791"/>
    <w:rsid w:val="002B12EB"/>
    <w:rsid w:val="002B1753"/>
    <w:rsid w:val="002B23BB"/>
    <w:rsid w:val="002B4083"/>
    <w:rsid w:val="002B48D7"/>
    <w:rsid w:val="002B6C3D"/>
    <w:rsid w:val="002C0A0C"/>
    <w:rsid w:val="002C0E05"/>
    <w:rsid w:val="002C0F2D"/>
    <w:rsid w:val="002C1690"/>
    <w:rsid w:val="002C19ED"/>
    <w:rsid w:val="002C2275"/>
    <w:rsid w:val="002C26E4"/>
    <w:rsid w:val="002C2D79"/>
    <w:rsid w:val="002C2E17"/>
    <w:rsid w:val="002C5856"/>
    <w:rsid w:val="002C5C14"/>
    <w:rsid w:val="002C607E"/>
    <w:rsid w:val="002C68BF"/>
    <w:rsid w:val="002C7CF8"/>
    <w:rsid w:val="002D19E8"/>
    <w:rsid w:val="002D274F"/>
    <w:rsid w:val="002D3849"/>
    <w:rsid w:val="002D40E0"/>
    <w:rsid w:val="002D4C35"/>
    <w:rsid w:val="002D59CD"/>
    <w:rsid w:val="002D60AD"/>
    <w:rsid w:val="002D6108"/>
    <w:rsid w:val="002D7F9B"/>
    <w:rsid w:val="002E4AC5"/>
    <w:rsid w:val="002E5674"/>
    <w:rsid w:val="002E58D0"/>
    <w:rsid w:val="002E6077"/>
    <w:rsid w:val="002E68B2"/>
    <w:rsid w:val="002F0AD4"/>
    <w:rsid w:val="002F0C10"/>
    <w:rsid w:val="002F0E67"/>
    <w:rsid w:val="002F0F5F"/>
    <w:rsid w:val="002F0FC9"/>
    <w:rsid w:val="002F1A6A"/>
    <w:rsid w:val="002F54F5"/>
    <w:rsid w:val="002F54FB"/>
    <w:rsid w:val="002F5662"/>
    <w:rsid w:val="002F614C"/>
    <w:rsid w:val="002F7A55"/>
    <w:rsid w:val="003032B5"/>
    <w:rsid w:val="003035A9"/>
    <w:rsid w:val="00303FDB"/>
    <w:rsid w:val="00305614"/>
    <w:rsid w:val="00305B28"/>
    <w:rsid w:val="00305BDD"/>
    <w:rsid w:val="00310CB8"/>
    <w:rsid w:val="00311F43"/>
    <w:rsid w:val="00311F5F"/>
    <w:rsid w:val="003135A6"/>
    <w:rsid w:val="003164A1"/>
    <w:rsid w:val="00317D35"/>
    <w:rsid w:val="003202C1"/>
    <w:rsid w:val="0032586C"/>
    <w:rsid w:val="00326174"/>
    <w:rsid w:val="003270C7"/>
    <w:rsid w:val="00330925"/>
    <w:rsid w:val="00330B23"/>
    <w:rsid w:val="00330F5A"/>
    <w:rsid w:val="00334BA1"/>
    <w:rsid w:val="00334C01"/>
    <w:rsid w:val="00334F97"/>
    <w:rsid w:val="003353E8"/>
    <w:rsid w:val="003359C2"/>
    <w:rsid w:val="00336BA6"/>
    <w:rsid w:val="003374A4"/>
    <w:rsid w:val="00343B75"/>
    <w:rsid w:val="00346119"/>
    <w:rsid w:val="00346D61"/>
    <w:rsid w:val="0034751E"/>
    <w:rsid w:val="0034770B"/>
    <w:rsid w:val="003516FE"/>
    <w:rsid w:val="003526CE"/>
    <w:rsid w:val="00352A5A"/>
    <w:rsid w:val="00353A5F"/>
    <w:rsid w:val="00354C15"/>
    <w:rsid w:val="003551E3"/>
    <w:rsid w:val="003568E1"/>
    <w:rsid w:val="00356D08"/>
    <w:rsid w:val="00356DF8"/>
    <w:rsid w:val="003577EF"/>
    <w:rsid w:val="00357D55"/>
    <w:rsid w:val="00357E54"/>
    <w:rsid w:val="00360423"/>
    <w:rsid w:val="00360BE9"/>
    <w:rsid w:val="00360DBC"/>
    <w:rsid w:val="00362602"/>
    <w:rsid w:val="00363A6A"/>
    <w:rsid w:val="0036683B"/>
    <w:rsid w:val="00367A31"/>
    <w:rsid w:val="00370392"/>
    <w:rsid w:val="00370C5A"/>
    <w:rsid w:val="003711AA"/>
    <w:rsid w:val="00372A06"/>
    <w:rsid w:val="003736ED"/>
    <w:rsid w:val="0037372A"/>
    <w:rsid w:val="00377CDB"/>
    <w:rsid w:val="003802EC"/>
    <w:rsid w:val="003818E1"/>
    <w:rsid w:val="00384D07"/>
    <w:rsid w:val="00384DA5"/>
    <w:rsid w:val="00386ABE"/>
    <w:rsid w:val="00386ACD"/>
    <w:rsid w:val="003872DF"/>
    <w:rsid w:val="003876CD"/>
    <w:rsid w:val="003876EB"/>
    <w:rsid w:val="00387C23"/>
    <w:rsid w:val="003909B1"/>
    <w:rsid w:val="003918EE"/>
    <w:rsid w:val="003944D2"/>
    <w:rsid w:val="003976C8"/>
    <w:rsid w:val="00397BDF"/>
    <w:rsid w:val="003A093D"/>
    <w:rsid w:val="003A0DDC"/>
    <w:rsid w:val="003A15C8"/>
    <w:rsid w:val="003A1B82"/>
    <w:rsid w:val="003A540D"/>
    <w:rsid w:val="003A6EBB"/>
    <w:rsid w:val="003B1337"/>
    <w:rsid w:val="003B1D15"/>
    <w:rsid w:val="003B2835"/>
    <w:rsid w:val="003B2B1B"/>
    <w:rsid w:val="003B2F6E"/>
    <w:rsid w:val="003B3476"/>
    <w:rsid w:val="003B347B"/>
    <w:rsid w:val="003C00CC"/>
    <w:rsid w:val="003C147B"/>
    <w:rsid w:val="003C1B58"/>
    <w:rsid w:val="003C2BC7"/>
    <w:rsid w:val="003C2D52"/>
    <w:rsid w:val="003C38AF"/>
    <w:rsid w:val="003C4B68"/>
    <w:rsid w:val="003C5C3B"/>
    <w:rsid w:val="003C6084"/>
    <w:rsid w:val="003C7862"/>
    <w:rsid w:val="003D040F"/>
    <w:rsid w:val="003D06A7"/>
    <w:rsid w:val="003D21A4"/>
    <w:rsid w:val="003D3E71"/>
    <w:rsid w:val="003D568A"/>
    <w:rsid w:val="003D6DA9"/>
    <w:rsid w:val="003E0E1C"/>
    <w:rsid w:val="003E105B"/>
    <w:rsid w:val="003E2F51"/>
    <w:rsid w:val="003E3BF0"/>
    <w:rsid w:val="003E43FE"/>
    <w:rsid w:val="003E491C"/>
    <w:rsid w:val="003E63E6"/>
    <w:rsid w:val="003E6B12"/>
    <w:rsid w:val="003E7BA4"/>
    <w:rsid w:val="003F0068"/>
    <w:rsid w:val="003F1804"/>
    <w:rsid w:val="003F1A25"/>
    <w:rsid w:val="003F2B88"/>
    <w:rsid w:val="003F30BC"/>
    <w:rsid w:val="003F5020"/>
    <w:rsid w:val="003F546E"/>
    <w:rsid w:val="003F656C"/>
    <w:rsid w:val="003F6628"/>
    <w:rsid w:val="003F693E"/>
    <w:rsid w:val="00402B37"/>
    <w:rsid w:val="00403CDD"/>
    <w:rsid w:val="00404323"/>
    <w:rsid w:val="00405249"/>
    <w:rsid w:val="004053CE"/>
    <w:rsid w:val="00405692"/>
    <w:rsid w:val="00406A6F"/>
    <w:rsid w:val="00406FA7"/>
    <w:rsid w:val="004115B5"/>
    <w:rsid w:val="00411AC4"/>
    <w:rsid w:val="00413105"/>
    <w:rsid w:val="00413324"/>
    <w:rsid w:val="0041543C"/>
    <w:rsid w:val="004162D5"/>
    <w:rsid w:val="004170F8"/>
    <w:rsid w:val="00417CC4"/>
    <w:rsid w:val="00417E86"/>
    <w:rsid w:val="004201C8"/>
    <w:rsid w:val="00420898"/>
    <w:rsid w:val="00421C40"/>
    <w:rsid w:val="00421DE2"/>
    <w:rsid w:val="00421DFE"/>
    <w:rsid w:val="004228D3"/>
    <w:rsid w:val="00422B93"/>
    <w:rsid w:val="004233F8"/>
    <w:rsid w:val="004236DD"/>
    <w:rsid w:val="004237D5"/>
    <w:rsid w:val="00423E20"/>
    <w:rsid w:val="004279A6"/>
    <w:rsid w:val="00427E98"/>
    <w:rsid w:val="00431F47"/>
    <w:rsid w:val="0043247A"/>
    <w:rsid w:val="004338BF"/>
    <w:rsid w:val="00434187"/>
    <w:rsid w:val="00436005"/>
    <w:rsid w:val="0043675C"/>
    <w:rsid w:val="0044069E"/>
    <w:rsid w:val="00440B92"/>
    <w:rsid w:val="00441462"/>
    <w:rsid w:val="00441614"/>
    <w:rsid w:val="0044565F"/>
    <w:rsid w:val="00445D8E"/>
    <w:rsid w:val="00446BC9"/>
    <w:rsid w:val="004473D9"/>
    <w:rsid w:val="00447D83"/>
    <w:rsid w:val="00447F0C"/>
    <w:rsid w:val="0045230C"/>
    <w:rsid w:val="004525AC"/>
    <w:rsid w:val="00452ABD"/>
    <w:rsid w:val="00453277"/>
    <w:rsid w:val="00454F7D"/>
    <w:rsid w:val="00455480"/>
    <w:rsid w:val="004562AF"/>
    <w:rsid w:val="0045647B"/>
    <w:rsid w:val="004564FF"/>
    <w:rsid w:val="00456DCB"/>
    <w:rsid w:val="00461043"/>
    <w:rsid w:val="00462C47"/>
    <w:rsid w:val="00463263"/>
    <w:rsid w:val="004645F1"/>
    <w:rsid w:val="00466236"/>
    <w:rsid w:val="00466DFB"/>
    <w:rsid w:val="004706B3"/>
    <w:rsid w:val="00472EE1"/>
    <w:rsid w:val="00472FA9"/>
    <w:rsid w:val="004741A1"/>
    <w:rsid w:val="0047471C"/>
    <w:rsid w:val="00474B26"/>
    <w:rsid w:val="00474CF2"/>
    <w:rsid w:val="00475270"/>
    <w:rsid w:val="00475531"/>
    <w:rsid w:val="004772B6"/>
    <w:rsid w:val="00477FEA"/>
    <w:rsid w:val="004804AF"/>
    <w:rsid w:val="00480A7D"/>
    <w:rsid w:val="00481217"/>
    <w:rsid w:val="00481ABF"/>
    <w:rsid w:val="004826D2"/>
    <w:rsid w:val="004858BF"/>
    <w:rsid w:val="0048620A"/>
    <w:rsid w:val="00486FD7"/>
    <w:rsid w:val="004876C9"/>
    <w:rsid w:val="00487E0D"/>
    <w:rsid w:val="00491088"/>
    <w:rsid w:val="00494C3E"/>
    <w:rsid w:val="00495E5D"/>
    <w:rsid w:val="004973C7"/>
    <w:rsid w:val="004A0D3E"/>
    <w:rsid w:val="004A19A1"/>
    <w:rsid w:val="004A282C"/>
    <w:rsid w:val="004A2A84"/>
    <w:rsid w:val="004A2E33"/>
    <w:rsid w:val="004A3FF5"/>
    <w:rsid w:val="004A5E05"/>
    <w:rsid w:val="004A6899"/>
    <w:rsid w:val="004A6909"/>
    <w:rsid w:val="004B0A83"/>
    <w:rsid w:val="004B1A17"/>
    <w:rsid w:val="004B5A72"/>
    <w:rsid w:val="004B5DFE"/>
    <w:rsid w:val="004B6E16"/>
    <w:rsid w:val="004B78F9"/>
    <w:rsid w:val="004B7E71"/>
    <w:rsid w:val="004C0737"/>
    <w:rsid w:val="004C3041"/>
    <w:rsid w:val="004C42AD"/>
    <w:rsid w:val="004C43BD"/>
    <w:rsid w:val="004C4FCE"/>
    <w:rsid w:val="004C591C"/>
    <w:rsid w:val="004C6B7C"/>
    <w:rsid w:val="004D353D"/>
    <w:rsid w:val="004D422C"/>
    <w:rsid w:val="004D4241"/>
    <w:rsid w:val="004D4625"/>
    <w:rsid w:val="004D4AD3"/>
    <w:rsid w:val="004D5062"/>
    <w:rsid w:val="004D7371"/>
    <w:rsid w:val="004E07F6"/>
    <w:rsid w:val="004E1F87"/>
    <w:rsid w:val="004E3A4A"/>
    <w:rsid w:val="004E41FD"/>
    <w:rsid w:val="004F17A0"/>
    <w:rsid w:val="004F3606"/>
    <w:rsid w:val="004F3DFB"/>
    <w:rsid w:val="004F6310"/>
    <w:rsid w:val="004F7AFC"/>
    <w:rsid w:val="00500585"/>
    <w:rsid w:val="00500D76"/>
    <w:rsid w:val="0050336B"/>
    <w:rsid w:val="0050547C"/>
    <w:rsid w:val="0050798F"/>
    <w:rsid w:val="00511154"/>
    <w:rsid w:val="00511A17"/>
    <w:rsid w:val="00511CEB"/>
    <w:rsid w:val="00512B96"/>
    <w:rsid w:val="0051390E"/>
    <w:rsid w:val="005145D2"/>
    <w:rsid w:val="00514A5B"/>
    <w:rsid w:val="00516841"/>
    <w:rsid w:val="00516FD4"/>
    <w:rsid w:val="00520360"/>
    <w:rsid w:val="00526142"/>
    <w:rsid w:val="005278EC"/>
    <w:rsid w:val="00527E0C"/>
    <w:rsid w:val="0053139F"/>
    <w:rsid w:val="005327E1"/>
    <w:rsid w:val="00532D09"/>
    <w:rsid w:val="00533506"/>
    <w:rsid w:val="0053359F"/>
    <w:rsid w:val="005338EE"/>
    <w:rsid w:val="00533A34"/>
    <w:rsid w:val="00535A6E"/>
    <w:rsid w:val="00535C07"/>
    <w:rsid w:val="00535C2D"/>
    <w:rsid w:val="005363C4"/>
    <w:rsid w:val="00537071"/>
    <w:rsid w:val="005407FB"/>
    <w:rsid w:val="00540A23"/>
    <w:rsid w:val="00542F97"/>
    <w:rsid w:val="005435DF"/>
    <w:rsid w:val="0054680B"/>
    <w:rsid w:val="005476F0"/>
    <w:rsid w:val="00547A8B"/>
    <w:rsid w:val="00547C44"/>
    <w:rsid w:val="00553B31"/>
    <w:rsid w:val="00553D5F"/>
    <w:rsid w:val="00553F3C"/>
    <w:rsid w:val="00554720"/>
    <w:rsid w:val="00554C25"/>
    <w:rsid w:val="00554D28"/>
    <w:rsid w:val="00554F52"/>
    <w:rsid w:val="005557EC"/>
    <w:rsid w:val="00555C13"/>
    <w:rsid w:val="00556501"/>
    <w:rsid w:val="00557130"/>
    <w:rsid w:val="0056159F"/>
    <w:rsid w:val="00562526"/>
    <w:rsid w:val="00562ED2"/>
    <w:rsid w:val="005639F3"/>
    <w:rsid w:val="00563FE2"/>
    <w:rsid w:val="00564549"/>
    <w:rsid w:val="00564C04"/>
    <w:rsid w:val="00564D48"/>
    <w:rsid w:val="0056551A"/>
    <w:rsid w:val="00566048"/>
    <w:rsid w:val="00566FB7"/>
    <w:rsid w:val="00567A2A"/>
    <w:rsid w:val="00567F59"/>
    <w:rsid w:val="00570368"/>
    <w:rsid w:val="0057137F"/>
    <w:rsid w:val="00571580"/>
    <w:rsid w:val="00572211"/>
    <w:rsid w:val="00572737"/>
    <w:rsid w:val="00573C99"/>
    <w:rsid w:val="00573D3D"/>
    <w:rsid w:val="005744F2"/>
    <w:rsid w:val="00574886"/>
    <w:rsid w:val="005757D9"/>
    <w:rsid w:val="00576B12"/>
    <w:rsid w:val="005774AB"/>
    <w:rsid w:val="005779F1"/>
    <w:rsid w:val="00577C8F"/>
    <w:rsid w:val="00577FB5"/>
    <w:rsid w:val="00581435"/>
    <w:rsid w:val="00584E72"/>
    <w:rsid w:val="00585F49"/>
    <w:rsid w:val="00586A0F"/>
    <w:rsid w:val="005877A7"/>
    <w:rsid w:val="00591099"/>
    <w:rsid w:val="00592AE3"/>
    <w:rsid w:val="0059377A"/>
    <w:rsid w:val="00593816"/>
    <w:rsid w:val="00593B97"/>
    <w:rsid w:val="00593F62"/>
    <w:rsid w:val="005949DA"/>
    <w:rsid w:val="00594A4E"/>
    <w:rsid w:val="0059549D"/>
    <w:rsid w:val="005965F0"/>
    <w:rsid w:val="005970CE"/>
    <w:rsid w:val="005A024A"/>
    <w:rsid w:val="005A1179"/>
    <w:rsid w:val="005A1AAF"/>
    <w:rsid w:val="005A3665"/>
    <w:rsid w:val="005A5E59"/>
    <w:rsid w:val="005A6FA7"/>
    <w:rsid w:val="005A732B"/>
    <w:rsid w:val="005A77F4"/>
    <w:rsid w:val="005B14C0"/>
    <w:rsid w:val="005B195B"/>
    <w:rsid w:val="005B195E"/>
    <w:rsid w:val="005B3290"/>
    <w:rsid w:val="005B32FA"/>
    <w:rsid w:val="005B49D0"/>
    <w:rsid w:val="005B4A9B"/>
    <w:rsid w:val="005B4FE7"/>
    <w:rsid w:val="005B5080"/>
    <w:rsid w:val="005B50EA"/>
    <w:rsid w:val="005B62FB"/>
    <w:rsid w:val="005B6333"/>
    <w:rsid w:val="005B6CF6"/>
    <w:rsid w:val="005C1242"/>
    <w:rsid w:val="005C31C3"/>
    <w:rsid w:val="005C3733"/>
    <w:rsid w:val="005C3796"/>
    <w:rsid w:val="005C4217"/>
    <w:rsid w:val="005C7697"/>
    <w:rsid w:val="005D268F"/>
    <w:rsid w:val="005D27D6"/>
    <w:rsid w:val="005D3FFD"/>
    <w:rsid w:val="005D4060"/>
    <w:rsid w:val="005D5515"/>
    <w:rsid w:val="005D60CB"/>
    <w:rsid w:val="005D60D7"/>
    <w:rsid w:val="005D75E7"/>
    <w:rsid w:val="005D795A"/>
    <w:rsid w:val="005E17AA"/>
    <w:rsid w:val="005E26E2"/>
    <w:rsid w:val="005E32A8"/>
    <w:rsid w:val="005E35E0"/>
    <w:rsid w:val="005E4392"/>
    <w:rsid w:val="005E4709"/>
    <w:rsid w:val="005E48DE"/>
    <w:rsid w:val="005E4E5D"/>
    <w:rsid w:val="005E566B"/>
    <w:rsid w:val="005E59A4"/>
    <w:rsid w:val="005E79F6"/>
    <w:rsid w:val="005F01D7"/>
    <w:rsid w:val="005F20F8"/>
    <w:rsid w:val="005F464D"/>
    <w:rsid w:val="005F5404"/>
    <w:rsid w:val="005F6456"/>
    <w:rsid w:val="005F648F"/>
    <w:rsid w:val="005F6A73"/>
    <w:rsid w:val="006022B6"/>
    <w:rsid w:val="00603BD2"/>
    <w:rsid w:val="0060493B"/>
    <w:rsid w:val="00604FE4"/>
    <w:rsid w:val="00605C38"/>
    <w:rsid w:val="006075B5"/>
    <w:rsid w:val="00607A87"/>
    <w:rsid w:val="00610C4E"/>
    <w:rsid w:val="00610FA0"/>
    <w:rsid w:val="00611426"/>
    <w:rsid w:val="00611CD5"/>
    <w:rsid w:val="00611FEA"/>
    <w:rsid w:val="0061483B"/>
    <w:rsid w:val="00614BBA"/>
    <w:rsid w:val="006150F2"/>
    <w:rsid w:val="0061631C"/>
    <w:rsid w:val="00617AFA"/>
    <w:rsid w:val="00617E7A"/>
    <w:rsid w:val="00620505"/>
    <w:rsid w:val="00620DB2"/>
    <w:rsid w:val="00622A90"/>
    <w:rsid w:val="00623AB2"/>
    <w:rsid w:val="006246D7"/>
    <w:rsid w:val="00626C44"/>
    <w:rsid w:val="00627DE3"/>
    <w:rsid w:val="00630D3E"/>
    <w:rsid w:val="00632A2C"/>
    <w:rsid w:val="00634933"/>
    <w:rsid w:val="006357A9"/>
    <w:rsid w:val="00637FA6"/>
    <w:rsid w:val="00640032"/>
    <w:rsid w:val="006408A1"/>
    <w:rsid w:val="00641565"/>
    <w:rsid w:val="006416EF"/>
    <w:rsid w:val="0064266E"/>
    <w:rsid w:val="00642846"/>
    <w:rsid w:val="006433CF"/>
    <w:rsid w:val="00643A4D"/>
    <w:rsid w:val="00643AC6"/>
    <w:rsid w:val="00643E11"/>
    <w:rsid w:val="00644F47"/>
    <w:rsid w:val="006451DD"/>
    <w:rsid w:val="00645BA2"/>
    <w:rsid w:val="00645DC6"/>
    <w:rsid w:val="00646479"/>
    <w:rsid w:val="00646ADA"/>
    <w:rsid w:val="006501A4"/>
    <w:rsid w:val="0065068A"/>
    <w:rsid w:val="006527B7"/>
    <w:rsid w:val="00652B2D"/>
    <w:rsid w:val="00654DA2"/>
    <w:rsid w:val="0065573D"/>
    <w:rsid w:val="00655754"/>
    <w:rsid w:val="00655896"/>
    <w:rsid w:val="006572AF"/>
    <w:rsid w:val="00657AF4"/>
    <w:rsid w:val="0066118D"/>
    <w:rsid w:val="006622B6"/>
    <w:rsid w:val="00662F60"/>
    <w:rsid w:val="006639F1"/>
    <w:rsid w:val="00663F5D"/>
    <w:rsid w:val="00664A9B"/>
    <w:rsid w:val="00666AFF"/>
    <w:rsid w:val="0066781B"/>
    <w:rsid w:val="006678D0"/>
    <w:rsid w:val="006706AE"/>
    <w:rsid w:val="00671F2D"/>
    <w:rsid w:val="00671FAA"/>
    <w:rsid w:val="006721C9"/>
    <w:rsid w:val="00672E19"/>
    <w:rsid w:val="00673293"/>
    <w:rsid w:val="00674A58"/>
    <w:rsid w:val="00674E36"/>
    <w:rsid w:val="006760D7"/>
    <w:rsid w:val="0068012F"/>
    <w:rsid w:val="006801AA"/>
    <w:rsid w:val="00680F42"/>
    <w:rsid w:val="006812CC"/>
    <w:rsid w:val="00682577"/>
    <w:rsid w:val="006829EA"/>
    <w:rsid w:val="00682CD8"/>
    <w:rsid w:val="00682D03"/>
    <w:rsid w:val="00683BDE"/>
    <w:rsid w:val="0068414E"/>
    <w:rsid w:val="00684306"/>
    <w:rsid w:val="006849D4"/>
    <w:rsid w:val="006870E1"/>
    <w:rsid w:val="00687DEB"/>
    <w:rsid w:val="006913AD"/>
    <w:rsid w:val="006924EA"/>
    <w:rsid w:val="006931C2"/>
    <w:rsid w:val="00694584"/>
    <w:rsid w:val="00694C85"/>
    <w:rsid w:val="006966FE"/>
    <w:rsid w:val="00696777"/>
    <w:rsid w:val="006967C1"/>
    <w:rsid w:val="006A0143"/>
    <w:rsid w:val="006A0BE6"/>
    <w:rsid w:val="006A1023"/>
    <w:rsid w:val="006A15DF"/>
    <w:rsid w:val="006A1E1E"/>
    <w:rsid w:val="006A27E4"/>
    <w:rsid w:val="006A4367"/>
    <w:rsid w:val="006A456A"/>
    <w:rsid w:val="006A4896"/>
    <w:rsid w:val="006A568B"/>
    <w:rsid w:val="006A5B2E"/>
    <w:rsid w:val="006B03C8"/>
    <w:rsid w:val="006B12F5"/>
    <w:rsid w:val="006B20DD"/>
    <w:rsid w:val="006B2D87"/>
    <w:rsid w:val="006B399A"/>
    <w:rsid w:val="006B4D9E"/>
    <w:rsid w:val="006B6669"/>
    <w:rsid w:val="006B6C4B"/>
    <w:rsid w:val="006B6F19"/>
    <w:rsid w:val="006B6F5A"/>
    <w:rsid w:val="006C03EA"/>
    <w:rsid w:val="006C1332"/>
    <w:rsid w:val="006C19A7"/>
    <w:rsid w:val="006C2130"/>
    <w:rsid w:val="006C21B6"/>
    <w:rsid w:val="006C24DB"/>
    <w:rsid w:val="006C2CD7"/>
    <w:rsid w:val="006C330E"/>
    <w:rsid w:val="006C5021"/>
    <w:rsid w:val="006C55F5"/>
    <w:rsid w:val="006C56DB"/>
    <w:rsid w:val="006C5CCD"/>
    <w:rsid w:val="006C5E75"/>
    <w:rsid w:val="006C641E"/>
    <w:rsid w:val="006D11DD"/>
    <w:rsid w:val="006D21D7"/>
    <w:rsid w:val="006D2BB7"/>
    <w:rsid w:val="006D337B"/>
    <w:rsid w:val="006D489D"/>
    <w:rsid w:val="006D58CF"/>
    <w:rsid w:val="006D5A0D"/>
    <w:rsid w:val="006D6BFA"/>
    <w:rsid w:val="006D73CB"/>
    <w:rsid w:val="006E2C0C"/>
    <w:rsid w:val="006E4118"/>
    <w:rsid w:val="006E55B2"/>
    <w:rsid w:val="006E56D0"/>
    <w:rsid w:val="006E72D0"/>
    <w:rsid w:val="006F00ED"/>
    <w:rsid w:val="006F21C0"/>
    <w:rsid w:val="006F3C8A"/>
    <w:rsid w:val="006F5843"/>
    <w:rsid w:val="006F6185"/>
    <w:rsid w:val="006F6E5B"/>
    <w:rsid w:val="006F74B3"/>
    <w:rsid w:val="00700C9F"/>
    <w:rsid w:val="00701D51"/>
    <w:rsid w:val="00702A7B"/>
    <w:rsid w:val="00703AD5"/>
    <w:rsid w:val="0070544F"/>
    <w:rsid w:val="00705949"/>
    <w:rsid w:val="00705D45"/>
    <w:rsid w:val="00707F04"/>
    <w:rsid w:val="00710BCF"/>
    <w:rsid w:val="00711E0E"/>
    <w:rsid w:val="00712E3A"/>
    <w:rsid w:val="00712EFE"/>
    <w:rsid w:val="007135A0"/>
    <w:rsid w:val="007139F1"/>
    <w:rsid w:val="00713A47"/>
    <w:rsid w:val="0071627B"/>
    <w:rsid w:val="0071675B"/>
    <w:rsid w:val="00716DB4"/>
    <w:rsid w:val="007201CF"/>
    <w:rsid w:val="00721589"/>
    <w:rsid w:val="00721B64"/>
    <w:rsid w:val="00721D16"/>
    <w:rsid w:val="00722F00"/>
    <w:rsid w:val="00723D34"/>
    <w:rsid w:val="007243B7"/>
    <w:rsid w:val="0072535B"/>
    <w:rsid w:val="00726809"/>
    <w:rsid w:val="00727C2B"/>
    <w:rsid w:val="007302EF"/>
    <w:rsid w:val="0073201F"/>
    <w:rsid w:val="007321E0"/>
    <w:rsid w:val="007329CB"/>
    <w:rsid w:val="00732C0B"/>
    <w:rsid w:val="00733457"/>
    <w:rsid w:val="00734A48"/>
    <w:rsid w:val="0073592D"/>
    <w:rsid w:val="007363A6"/>
    <w:rsid w:val="00736689"/>
    <w:rsid w:val="00740201"/>
    <w:rsid w:val="00741683"/>
    <w:rsid w:val="00743303"/>
    <w:rsid w:val="00743FDB"/>
    <w:rsid w:val="007442A4"/>
    <w:rsid w:val="007454EC"/>
    <w:rsid w:val="00745FEF"/>
    <w:rsid w:val="007468EC"/>
    <w:rsid w:val="00750D71"/>
    <w:rsid w:val="00751229"/>
    <w:rsid w:val="00752661"/>
    <w:rsid w:val="00752C9F"/>
    <w:rsid w:val="00753073"/>
    <w:rsid w:val="00753101"/>
    <w:rsid w:val="00757503"/>
    <w:rsid w:val="00762048"/>
    <w:rsid w:val="007622D6"/>
    <w:rsid w:val="00762CE3"/>
    <w:rsid w:val="00763769"/>
    <w:rsid w:val="00764A8E"/>
    <w:rsid w:val="007653C7"/>
    <w:rsid w:val="0076650B"/>
    <w:rsid w:val="00772831"/>
    <w:rsid w:val="00772CC1"/>
    <w:rsid w:val="007733D0"/>
    <w:rsid w:val="00773997"/>
    <w:rsid w:val="00776951"/>
    <w:rsid w:val="0077722B"/>
    <w:rsid w:val="00777254"/>
    <w:rsid w:val="00781263"/>
    <w:rsid w:val="00781ECF"/>
    <w:rsid w:val="0078268C"/>
    <w:rsid w:val="007828B3"/>
    <w:rsid w:val="00783160"/>
    <w:rsid w:val="0078490B"/>
    <w:rsid w:val="00784F4A"/>
    <w:rsid w:val="007860B8"/>
    <w:rsid w:val="00786F67"/>
    <w:rsid w:val="00790F58"/>
    <w:rsid w:val="0079147A"/>
    <w:rsid w:val="00792A91"/>
    <w:rsid w:val="00792B68"/>
    <w:rsid w:val="0079436E"/>
    <w:rsid w:val="007945B9"/>
    <w:rsid w:val="0079551D"/>
    <w:rsid w:val="0079583C"/>
    <w:rsid w:val="00796325"/>
    <w:rsid w:val="007A2F95"/>
    <w:rsid w:val="007A3308"/>
    <w:rsid w:val="007A609E"/>
    <w:rsid w:val="007A6D76"/>
    <w:rsid w:val="007A707C"/>
    <w:rsid w:val="007B190A"/>
    <w:rsid w:val="007B23B4"/>
    <w:rsid w:val="007B2774"/>
    <w:rsid w:val="007B2B6D"/>
    <w:rsid w:val="007B3B71"/>
    <w:rsid w:val="007B4A3E"/>
    <w:rsid w:val="007B5497"/>
    <w:rsid w:val="007B5C0F"/>
    <w:rsid w:val="007C036D"/>
    <w:rsid w:val="007C0620"/>
    <w:rsid w:val="007C159B"/>
    <w:rsid w:val="007C2018"/>
    <w:rsid w:val="007C22A2"/>
    <w:rsid w:val="007C26DD"/>
    <w:rsid w:val="007C27F6"/>
    <w:rsid w:val="007C3109"/>
    <w:rsid w:val="007C3A63"/>
    <w:rsid w:val="007C48E1"/>
    <w:rsid w:val="007C536A"/>
    <w:rsid w:val="007C64AA"/>
    <w:rsid w:val="007C6A05"/>
    <w:rsid w:val="007C6A0F"/>
    <w:rsid w:val="007C6A8C"/>
    <w:rsid w:val="007C6F69"/>
    <w:rsid w:val="007C7C21"/>
    <w:rsid w:val="007C7D26"/>
    <w:rsid w:val="007D17F8"/>
    <w:rsid w:val="007D1842"/>
    <w:rsid w:val="007D32C3"/>
    <w:rsid w:val="007D374F"/>
    <w:rsid w:val="007D3D48"/>
    <w:rsid w:val="007D51D5"/>
    <w:rsid w:val="007D75B1"/>
    <w:rsid w:val="007E0E04"/>
    <w:rsid w:val="007E1CE0"/>
    <w:rsid w:val="007E1F31"/>
    <w:rsid w:val="007E219E"/>
    <w:rsid w:val="007E2494"/>
    <w:rsid w:val="007E48F7"/>
    <w:rsid w:val="007E49E9"/>
    <w:rsid w:val="007E55FB"/>
    <w:rsid w:val="007E5C6C"/>
    <w:rsid w:val="007E5F8D"/>
    <w:rsid w:val="007E6853"/>
    <w:rsid w:val="007E689A"/>
    <w:rsid w:val="007F041F"/>
    <w:rsid w:val="007F04AE"/>
    <w:rsid w:val="007F0792"/>
    <w:rsid w:val="007F0E61"/>
    <w:rsid w:val="007F1365"/>
    <w:rsid w:val="007F186E"/>
    <w:rsid w:val="007F2616"/>
    <w:rsid w:val="007F28BB"/>
    <w:rsid w:val="007F2B3E"/>
    <w:rsid w:val="007F2E4E"/>
    <w:rsid w:val="007F30DA"/>
    <w:rsid w:val="007F312C"/>
    <w:rsid w:val="007F4A62"/>
    <w:rsid w:val="007F593C"/>
    <w:rsid w:val="007F66D7"/>
    <w:rsid w:val="007F7BB6"/>
    <w:rsid w:val="008006CF"/>
    <w:rsid w:val="008049B7"/>
    <w:rsid w:val="0080519F"/>
    <w:rsid w:val="008060E6"/>
    <w:rsid w:val="00807071"/>
    <w:rsid w:val="00807517"/>
    <w:rsid w:val="00812A7E"/>
    <w:rsid w:val="008131F8"/>
    <w:rsid w:val="0081518B"/>
    <w:rsid w:val="00815C1C"/>
    <w:rsid w:val="00816B8D"/>
    <w:rsid w:val="00816FB2"/>
    <w:rsid w:val="00817442"/>
    <w:rsid w:val="0081769F"/>
    <w:rsid w:val="00817DDE"/>
    <w:rsid w:val="0082197E"/>
    <w:rsid w:val="00822394"/>
    <w:rsid w:val="00823A73"/>
    <w:rsid w:val="00823F26"/>
    <w:rsid w:val="0082699A"/>
    <w:rsid w:val="00827BAC"/>
    <w:rsid w:val="00835A8E"/>
    <w:rsid w:val="008360FF"/>
    <w:rsid w:val="00836B4E"/>
    <w:rsid w:val="0084000F"/>
    <w:rsid w:val="0084006A"/>
    <w:rsid w:val="0084062F"/>
    <w:rsid w:val="0084094F"/>
    <w:rsid w:val="008416F3"/>
    <w:rsid w:val="00841DF9"/>
    <w:rsid w:val="008423F5"/>
    <w:rsid w:val="00844476"/>
    <w:rsid w:val="008459FA"/>
    <w:rsid w:val="00845FA9"/>
    <w:rsid w:val="00846EF7"/>
    <w:rsid w:val="00847214"/>
    <w:rsid w:val="00850ADF"/>
    <w:rsid w:val="0085183F"/>
    <w:rsid w:val="00852F4E"/>
    <w:rsid w:val="00854F51"/>
    <w:rsid w:val="008551BE"/>
    <w:rsid w:val="008555DD"/>
    <w:rsid w:val="00855937"/>
    <w:rsid w:val="00855AD3"/>
    <w:rsid w:val="0085629A"/>
    <w:rsid w:val="00856747"/>
    <w:rsid w:val="0085692A"/>
    <w:rsid w:val="00856E57"/>
    <w:rsid w:val="00861891"/>
    <w:rsid w:val="008619C7"/>
    <w:rsid w:val="00861CEE"/>
    <w:rsid w:val="00862547"/>
    <w:rsid w:val="008628DB"/>
    <w:rsid w:val="00864986"/>
    <w:rsid w:val="00864FDF"/>
    <w:rsid w:val="00865373"/>
    <w:rsid w:val="00865A7D"/>
    <w:rsid w:val="00866115"/>
    <w:rsid w:val="008668FD"/>
    <w:rsid w:val="00866CB0"/>
    <w:rsid w:val="00867854"/>
    <w:rsid w:val="008678AA"/>
    <w:rsid w:val="00867B33"/>
    <w:rsid w:val="0087031A"/>
    <w:rsid w:val="00870EAD"/>
    <w:rsid w:val="008717AF"/>
    <w:rsid w:val="0087284D"/>
    <w:rsid w:val="008740F4"/>
    <w:rsid w:val="00874129"/>
    <w:rsid w:val="00874799"/>
    <w:rsid w:val="00875FDF"/>
    <w:rsid w:val="0087709D"/>
    <w:rsid w:val="0087715A"/>
    <w:rsid w:val="00877A92"/>
    <w:rsid w:val="00877B6E"/>
    <w:rsid w:val="00881BC0"/>
    <w:rsid w:val="008827E1"/>
    <w:rsid w:val="00883919"/>
    <w:rsid w:val="008874AC"/>
    <w:rsid w:val="008903DE"/>
    <w:rsid w:val="00891945"/>
    <w:rsid w:val="00891BBA"/>
    <w:rsid w:val="0089265D"/>
    <w:rsid w:val="00892816"/>
    <w:rsid w:val="00892A6A"/>
    <w:rsid w:val="008934F2"/>
    <w:rsid w:val="0089683E"/>
    <w:rsid w:val="0089762C"/>
    <w:rsid w:val="008A0543"/>
    <w:rsid w:val="008A139A"/>
    <w:rsid w:val="008A2574"/>
    <w:rsid w:val="008A3C7F"/>
    <w:rsid w:val="008A689E"/>
    <w:rsid w:val="008B0759"/>
    <w:rsid w:val="008B0E03"/>
    <w:rsid w:val="008B1A96"/>
    <w:rsid w:val="008B223E"/>
    <w:rsid w:val="008B2A33"/>
    <w:rsid w:val="008B6C07"/>
    <w:rsid w:val="008B72A3"/>
    <w:rsid w:val="008C0461"/>
    <w:rsid w:val="008C12A9"/>
    <w:rsid w:val="008C19E1"/>
    <w:rsid w:val="008C469D"/>
    <w:rsid w:val="008C5707"/>
    <w:rsid w:val="008C66A4"/>
    <w:rsid w:val="008D170C"/>
    <w:rsid w:val="008D176F"/>
    <w:rsid w:val="008D1857"/>
    <w:rsid w:val="008D1C1B"/>
    <w:rsid w:val="008D295B"/>
    <w:rsid w:val="008D2EA5"/>
    <w:rsid w:val="008D3B51"/>
    <w:rsid w:val="008D3C85"/>
    <w:rsid w:val="008D3DBF"/>
    <w:rsid w:val="008D5B1A"/>
    <w:rsid w:val="008E44B8"/>
    <w:rsid w:val="008E4F82"/>
    <w:rsid w:val="008E4FA3"/>
    <w:rsid w:val="008E5B56"/>
    <w:rsid w:val="008E6B10"/>
    <w:rsid w:val="008E790B"/>
    <w:rsid w:val="008E7E15"/>
    <w:rsid w:val="008F080D"/>
    <w:rsid w:val="008F0C1A"/>
    <w:rsid w:val="008F36D8"/>
    <w:rsid w:val="008F40D0"/>
    <w:rsid w:val="008F6D0F"/>
    <w:rsid w:val="008F6E8B"/>
    <w:rsid w:val="008F7766"/>
    <w:rsid w:val="008F7D03"/>
    <w:rsid w:val="00900E75"/>
    <w:rsid w:val="00902D4C"/>
    <w:rsid w:val="00906E68"/>
    <w:rsid w:val="00906E9D"/>
    <w:rsid w:val="009075A8"/>
    <w:rsid w:val="00907C51"/>
    <w:rsid w:val="0091043D"/>
    <w:rsid w:val="00911147"/>
    <w:rsid w:val="0091132C"/>
    <w:rsid w:val="009116CD"/>
    <w:rsid w:val="00912492"/>
    <w:rsid w:val="00912C91"/>
    <w:rsid w:val="00912D13"/>
    <w:rsid w:val="0091478B"/>
    <w:rsid w:val="009165D2"/>
    <w:rsid w:val="00916A5C"/>
    <w:rsid w:val="00916EAB"/>
    <w:rsid w:val="00921840"/>
    <w:rsid w:val="00921954"/>
    <w:rsid w:val="0092223A"/>
    <w:rsid w:val="00924541"/>
    <w:rsid w:val="00925115"/>
    <w:rsid w:val="00925578"/>
    <w:rsid w:val="00925C16"/>
    <w:rsid w:val="00925D54"/>
    <w:rsid w:val="00926772"/>
    <w:rsid w:val="0093087E"/>
    <w:rsid w:val="00932611"/>
    <w:rsid w:val="00932BFC"/>
    <w:rsid w:val="00932E72"/>
    <w:rsid w:val="00933DFD"/>
    <w:rsid w:val="0093434A"/>
    <w:rsid w:val="0093479F"/>
    <w:rsid w:val="00937877"/>
    <w:rsid w:val="00937B2A"/>
    <w:rsid w:val="009403B0"/>
    <w:rsid w:val="009403D1"/>
    <w:rsid w:val="0094134E"/>
    <w:rsid w:val="00941837"/>
    <w:rsid w:val="00946AE0"/>
    <w:rsid w:val="00947867"/>
    <w:rsid w:val="009514AB"/>
    <w:rsid w:val="009516ED"/>
    <w:rsid w:val="00951B40"/>
    <w:rsid w:val="009523AC"/>
    <w:rsid w:val="009524FC"/>
    <w:rsid w:val="009526ED"/>
    <w:rsid w:val="009533C9"/>
    <w:rsid w:val="009535E5"/>
    <w:rsid w:val="0095382D"/>
    <w:rsid w:val="00954283"/>
    <w:rsid w:val="00954B37"/>
    <w:rsid w:val="00955B8C"/>
    <w:rsid w:val="009562D1"/>
    <w:rsid w:val="00956EEB"/>
    <w:rsid w:val="0095710E"/>
    <w:rsid w:val="00960B47"/>
    <w:rsid w:val="00961963"/>
    <w:rsid w:val="009621E4"/>
    <w:rsid w:val="009644F7"/>
    <w:rsid w:val="00965131"/>
    <w:rsid w:val="009655FB"/>
    <w:rsid w:val="00965AC6"/>
    <w:rsid w:val="00970479"/>
    <w:rsid w:val="00970D14"/>
    <w:rsid w:val="00970F8E"/>
    <w:rsid w:val="00971231"/>
    <w:rsid w:val="0097236B"/>
    <w:rsid w:val="00972CA3"/>
    <w:rsid w:val="00973F95"/>
    <w:rsid w:val="0097404B"/>
    <w:rsid w:val="009745F2"/>
    <w:rsid w:val="00974CC7"/>
    <w:rsid w:val="00976584"/>
    <w:rsid w:val="00976B75"/>
    <w:rsid w:val="00976B93"/>
    <w:rsid w:val="009774E8"/>
    <w:rsid w:val="00977797"/>
    <w:rsid w:val="009800AA"/>
    <w:rsid w:val="0098073F"/>
    <w:rsid w:val="009811E2"/>
    <w:rsid w:val="00982899"/>
    <w:rsid w:val="00982D29"/>
    <w:rsid w:val="00982DFC"/>
    <w:rsid w:val="009839AC"/>
    <w:rsid w:val="00984477"/>
    <w:rsid w:val="009847AF"/>
    <w:rsid w:val="00984BA1"/>
    <w:rsid w:val="00987F7B"/>
    <w:rsid w:val="009905C3"/>
    <w:rsid w:val="00990DF0"/>
    <w:rsid w:val="00990E7A"/>
    <w:rsid w:val="00991E04"/>
    <w:rsid w:val="009935FC"/>
    <w:rsid w:val="00994E26"/>
    <w:rsid w:val="009956CE"/>
    <w:rsid w:val="009956E7"/>
    <w:rsid w:val="00995953"/>
    <w:rsid w:val="0099746D"/>
    <w:rsid w:val="009A08BB"/>
    <w:rsid w:val="009A3F58"/>
    <w:rsid w:val="009A42B3"/>
    <w:rsid w:val="009A4BC7"/>
    <w:rsid w:val="009A4DA5"/>
    <w:rsid w:val="009A5AAD"/>
    <w:rsid w:val="009A7C7C"/>
    <w:rsid w:val="009B07DD"/>
    <w:rsid w:val="009B2DC8"/>
    <w:rsid w:val="009B2FA1"/>
    <w:rsid w:val="009B469B"/>
    <w:rsid w:val="009B5E49"/>
    <w:rsid w:val="009B6795"/>
    <w:rsid w:val="009B7560"/>
    <w:rsid w:val="009C33C2"/>
    <w:rsid w:val="009C47AA"/>
    <w:rsid w:val="009C77C4"/>
    <w:rsid w:val="009C7FA3"/>
    <w:rsid w:val="009D1FED"/>
    <w:rsid w:val="009D28F5"/>
    <w:rsid w:val="009D2A4B"/>
    <w:rsid w:val="009D3BE0"/>
    <w:rsid w:val="009D3E2D"/>
    <w:rsid w:val="009D462C"/>
    <w:rsid w:val="009D4F25"/>
    <w:rsid w:val="009D53A4"/>
    <w:rsid w:val="009D5A2B"/>
    <w:rsid w:val="009D5DD1"/>
    <w:rsid w:val="009D5E10"/>
    <w:rsid w:val="009D75FD"/>
    <w:rsid w:val="009E047D"/>
    <w:rsid w:val="009E2661"/>
    <w:rsid w:val="009E3F60"/>
    <w:rsid w:val="009E5A58"/>
    <w:rsid w:val="009E69A1"/>
    <w:rsid w:val="009E7235"/>
    <w:rsid w:val="009E7EFD"/>
    <w:rsid w:val="009F029C"/>
    <w:rsid w:val="009F067B"/>
    <w:rsid w:val="009F1B78"/>
    <w:rsid w:val="009F28C4"/>
    <w:rsid w:val="009F2D6B"/>
    <w:rsid w:val="009F334D"/>
    <w:rsid w:val="009F349D"/>
    <w:rsid w:val="009F3915"/>
    <w:rsid w:val="009F3E74"/>
    <w:rsid w:val="009F40A4"/>
    <w:rsid w:val="009F4194"/>
    <w:rsid w:val="009F4C04"/>
    <w:rsid w:val="009F4D4D"/>
    <w:rsid w:val="009F7318"/>
    <w:rsid w:val="00A007CC"/>
    <w:rsid w:val="00A0193E"/>
    <w:rsid w:val="00A01CFC"/>
    <w:rsid w:val="00A0232F"/>
    <w:rsid w:val="00A026EB"/>
    <w:rsid w:val="00A03151"/>
    <w:rsid w:val="00A0398F"/>
    <w:rsid w:val="00A045DB"/>
    <w:rsid w:val="00A04991"/>
    <w:rsid w:val="00A06F1D"/>
    <w:rsid w:val="00A1044D"/>
    <w:rsid w:val="00A10B0C"/>
    <w:rsid w:val="00A1174C"/>
    <w:rsid w:val="00A12157"/>
    <w:rsid w:val="00A129F4"/>
    <w:rsid w:val="00A14AD3"/>
    <w:rsid w:val="00A15020"/>
    <w:rsid w:val="00A15912"/>
    <w:rsid w:val="00A17923"/>
    <w:rsid w:val="00A17E60"/>
    <w:rsid w:val="00A20966"/>
    <w:rsid w:val="00A20BCB"/>
    <w:rsid w:val="00A20C9D"/>
    <w:rsid w:val="00A20CBB"/>
    <w:rsid w:val="00A22204"/>
    <w:rsid w:val="00A232DB"/>
    <w:rsid w:val="00A24CD1"/>
    <w:rsid w:val="00A2672E"/>
    <w:rsid w:val="00A2717A"/>
    <w:rsid w:val="00A27542"/>
    <w:rsid w:val="00A2757E"/>
    <w:rsid w:val="00A30A55"/>
    <w:rsid w:val="00A312DE"/>
    <w:rsid w:val="00A32AC8"/>
    <w:rsid w:val="00A3403E"/>
    <w:rsid w:val="00A34F7C"/>
    <w:rsid w:val="00A35392"/>
    <w:rsid w:val="00A35FE7"/>
    <w:rsid w:val="00A364A0"/>
    <w:rsid w:val="00A3678B"/>
    <w:rsid w:val="00A378FA"/>
    <w:rsid w:val="00A400AB"/>
    <w:rsid w:val="00A40D36"/>
    <w:rsid w:val="00A4113A"/>
    <w:rsid w:val="00A41455"/>
    <w:rsid w:val="00A419EF"/>
    <w:rsid w:val="00A41E58"/>
    <w:rsid w:val="00A42109"/>
    <w:rsid w:val="00A42EFC"/>
    <w:rsid w:val="00A4315A"/>
    <w:rsid w:val="00A435A7"/>
    <w:rsid w:val="00A439F6"/>
    <w:rsid w:val="00A4488E"/>
    <w:rsid w:val="00A44939"/>
    <w:rsid w:val="00A44B97"/>
    <w:rsid w:val="00A45F9D"/>
    <w:rsid w:val="00A46A6E"/>
    <w:rsid w:val="00A503A4"/>
    <w:rsid w:val="00A50524"/>
    <w:rsid w:val="00A50DEF"/>
    <w:rsid w:val="00A52FD1"/>
    <w:rsid w:val="00A5336A"/>
    <w:rsid w:val="00A5339F"/>
    <w:rsid w:val="00A53C7D"/>
    <w:rsid w:val="00A5695E"/>
    <w:rsid w:val="00A56B07"/>
    <w:rsid w:val="00A5715D"/>
    <w:rsid w:val="00A602A9"/>
    <w:rsid w:val="00A60FF3"/>
    <w:rsid w:val="00A617DA"/>
    <w:rsid w:val="00A65135"/>
    <w:rsid w:val="00A65D02"/>
    <w:rsid w:val="00A677D3"/>
    <w:rsid w:val="00A7026C"/>
    <w:rsid w:val="00A74715"/>
    <w:rsid w:val="00A74B4A"/>
    <w:rsid w:val="00A7509E"/>
    <w:rsid w:val="00A76717"/>
    <w:rsid w:val="00A800F6"/>
    <w:rsid w:val="00A80BC9"/>
    <w:rsid w:val="00A81A1E"/>
    <w:rsid w:val="00A8238E"/>
    <w:rsid w:val="00A830D4"/>
    <w:rsid w:val="00A836CB"/>
    <w:rsid w:val="00A83F23"/>
    <w:rsid w:val="00A8504B"/>
    <w:rsid w:val="00A85733"/>
    <w:rsid w:val="00A857A3"/>
    <w:rsid w:val="00A91FAB"/>
    <w:rsid w:val="00A9270D"/>
    <w:rsid w:val="00A942BF"/>
    <w:rsid w:val="00A94C99"/>
    <w:rsid w:val="00A94DB4"/>
    <w:rsid w:val="00A95327"/>
    <w:rsid w:val="00A95FC2"/>
    <w:rsid w:val="00A97BC6"/>
    <w:rsid w:val="00A97E2C"/>
    <w:rsid w:val="00AA139E"/>
    <w:rsid w:val="00AA1479"/>
    <w:rsid w:val="00AA2455"/>
    <w:rsid w:val="00AA2CBB"/>
    <w:rsid w:val="00AA490A"/>
    <w:rsid w:val="00AA5E9A"/>
    <w:rsid w:val="00AA61DB"/>
    <w:rsid w:val="00AB0604"/>
    <w:rsid w:val="00AB0EC1"/>
    <w:rsid w:val="00AB0FA3"/>
    <w:rsid w:val="00AB155E"/>
    <w:rsid w:val="00AB2AC2"/>
    <w:rsid w:val="00AB3B5B"/>
    <w:rsid w:val="00AB4515"/>
    <w:rsid w:val="00AB4A28"/>
    <w:rsid w:val="00AB5084"/>
    <w:rsid w:val="00AB64D5"/>
    <w:rsid w:val="00AB6C51"/>
    <w:rsid w:val="00AB70E9"/>
    <w:rsid w:val="00AB7751"/>
    <w:rsid w:val="00AC111A"/>
    <w:rsid w:val="00AC112C"/>
    <w:rsid w:val="00AC13EB"/>
    <w:rsid w:val="00AC2D9D"/>
    <w:rsid w:val="00AC2DDE"/>
    <w:rsid w:val="00AC315A"/>
    <w:rsid w:val="00AD2265"/>
    <w:rsid w:val="00AD2FD3"/>
    <w:rsid w:val="00AD393C"/>
    <w:rsid w:val="00AD3B05"/>
    <w:rsid w:val="00AD41B4"/>
    <w:rsid w:val="00AD5782"/>
    <w:rsid w:val="00AD5983"/>
    <w:rsid w:val="00AD59F5"/>
    <w:rsid w:val="00AD5F26"/>
    <w:rsid w:val="00AE0437"/>
    <w:rsid w:val="00AE0DF1"/>
    <w:rsid w:val="00AE31A0"/>
    <w:rsid w:val="00AE3498"/>
    <w:rsid w:val="00AE5D4F"/>
    <w:rsid w:val="00AE702B"/>
    <w:rsid w:val="00AE724D"/>
    <w:rsid w:val="00AE7396"/>
    <w:rsid w:val="00AF0EDE"/>
    <w:rsid w:val="00AF112F"/>
    <w:rsid w:val="00AF15BF"/>
    <w:rsid w:val="00AF1914"/>
    <w:rsid w:val="00AF30B2"/>
    <w:rsid w:val="00AF313A"/>
    <w:rsid w:val="00AF3414"/>
    <w:rsid w:val="00AF518A"/>
    <w:rsid w:val="00AF638C"/>
    <w:rsid w:val="00AF6F29"/>
    <w:rsid w:val="00AF6F30"/>
    <w:rsid w:val="00AF7517"/>
    <w:rsid w:val="00B0291E"/>
    <w:rsid w:val="00B029BB"/>
    <w:rsid w:val="00B02AF3"/>
    <w:rsid w:val="00B04F4C"/>
    <w:rsid w:val="00B06827"/>
    <w:rsid w:val="00B10726"/>
    <w:rsid w:val="00B10842"/>
    <w:rsid w:val="00B15214"/>
    <w:rsid w:val="00B1589B"/>
    <w:rsid w:val="00B15E0C"/>
    <w:rsid w:val="00B1685F"/>
    <w:rsid w:val="00B17AC3"/>
    <w:rsid w:val="00B203BE"/>
    <w:rsid w:val="00B20728"/>
    <w:rsid w:val="00B21A01"/>
    <w:rsid w:val="00B231CF"/>
    <w:rsid w:val="00B23AB0"/>
    <w:rsid w:val="00B2742D"/>
    <w:rsid w:val="00B27982"/>
    <w:rsid w:val="00B31C44"/>
    <w:rsid w:val="00B3346C"/>
    <w:rsid w:val="00B33E02"/>
    <w:rsid w:val="00B36684"/>
    <w:rsid w:val="00B36892"/>
    <w:rsid w:val="00B3705B"/>
    <w:rsid w:val="00B4085E"/>
    <w:rsid w:val="00B42041"/>
    <w:rsid w:val="00B42141"/>
    <w:rsid w:val="00B42B12"/>
    <w:rsid w:val="00B42E50"/>
    <w:rsid w:val="00B43F34"/>
    <w:rsid w:val="00B44DCE"/>
    <w:rsid w:val="00B44FBA"/>
    <w:rsid w:val="00B45064"/>
    <w:rsid w:val="00B45242"/>
    <w:rsid w:val="00B45302"/>
    <w:rsid w:val="00B45934"/>
    <w:rsid w:val="00B46100"/>
    <w:rsid w:val="00B46A43"/>
    <w:rsid w:val="00B4798D"/>
    <w:rsid w:val="00B47BDC"/>
    <w:rsid w:val="00B50051"/>
    <w:rsid w:val="00B50617"/>
    <w:rsid w:val="00B50BC3"/>
    <w:rsid w:val="00B51FFB"/>
    <w:rsid w:val="00B52F67"/>
    <w:rsid w:val="00B538A6"/>
    <w:rsid w:val="00B552C3"/>
    <w:rsid w:val="00B60216"/>
    <w:rsid w:val="00B62168"/>
    <w:rsid w:val="00B63708"/>
    <w:rsid w:val="00B64AFD"/>
    <w:rsid w:val="00B65450"/>
    <w:rsid w:val="00B656E3"/>
    <w:rsid w:val="00B65AB8"/>
    <w:rsid w:val="00B66413"/>
    <w:rsid w:val="00B66DC7"/>
    <w:rsid w:val="00B67680"/>
    <w:rsid w:val="00B7026D"/>
    <w:rsid w:val="00B72580"/>
    <w:rsid w:val="00B72EDB"/>
    <w:rsid w:val="00B73F4F"/>
    <w:rsid w:val="00B74B9E"/>
    <w:rsid w:val="00B74E4E"/>
    <w:rsid w:val="00B75055"/>
    <w:rsid w:val="00B77775"/>
    <w:rsid w:val="00B81829"/>
    <w:rsid w:val="00B81BF0"/>
    <w:rsid w:val="00B824BB"/>
    <w:rsid w:val="00B82D3C"/>
    <w:rsid w:val="00B82EDE"/>
    <w:rsid w:val="00B83C24"/>
    <w:rsid w:val="00B840CE"/>
    <w:rsid w:val="00B84CEE"/>
    <w:rsid w:val="00B857FC"/>
    <w:rsid w:val="00B85B99"/>
    <w:rsid w:val="00B86FCB"/>
    <w:rsid w:val="00B87DBC"/>
    <w:rsid w:val="00B911A6"/>
    <w:rsid w:val="00B92498"/>
    <w:rsid w:val="00B925BB"/>
    <w:rsid w:val="00B947AB"/>
    <w:rsid w:val="00B9482B"/>
    <w:rsid w:val="00B953A5"/>
    <w:rsid w:val="00BA0336"/>
    <w:rsid w:val="00BA183D"/>
    <w:rsid w:val="00BA4EA8"/>
    <w:rsid w:val="00BA67A7"/>
    <w:rsid w:val="00BA741A"/>
    <w:rsid w:val="00BA7F9A"/>
    <w:rsid w:val="00BB0EE1"/>
    <w:rsid w:val="00BB12A8"/>
    <w:rsid w:val="00BB1CFC"/>
    <w:rsid w:val="00BB2DE9"/>
    <w:rsid w:val="00BB366F"/>
    <w:rsid w:val="00BB48D8"/>
    <w:rsid w:val="00BB77FF"/>
    <w:rsid w:val="00BB7A05"/>
    <w:rsid w:val="00BC1F26"/>
    <w:rsid w:val="00BC231D"/>
    <w:rsid w:val="00BC3077"/>
    <w:rsid w:val="00BC31E6"/>
    <w:rsid w:val="00BC37E9"/>
    <w:rsid w:val="00BC5385"/>
    <w:rsid w:val="00BC6572"/>
    <w:rsid w:val="00BD2A65"/>
    <w:rsid w:val="00BD2E44"/>
    <w:rsid w:val="00BD38FA"/>
    <w:rsid w:val="00BD4AF0"/>
    <w:rsid w:val="00BD4C6F"/>
    <w:rsid w:val="00BD5EC8"/>
    <w:rsid w:val="00BD755B"/>
    <w:rsid w:val="00BD7AB6"/>
    <w:rsid w:val="00BE0584"/>
    <w:rsid w:val="00BE0F68"/>
    <w:rsid w:val="00BE0FCD"/>
    <w:rsid w:val="00BE1A24"/>
    <w:rsid w:val="00BE2D28"/>
    <w:rsid w:val="00BE47BD"/>
    <w:rsid w:val="00BE501C"/>
    <w:rsid w:val="00BE5A1B"/>
    <w:rsid w:val="00BE644C"/>
    <w:rsid w:val="00BE659E"/>
    <w:rsid w:val="00BF037C"/>
    <w:rsid w:val="00BF228B"/>
    <w:rsid w:val="00BF2703"/>
    <w:rsid w:val="00BF285D"/>
    <w:rsid w:val="00BF2AC2"/>
    <w:rsid w:val="00BF419C"/>
    <w:rsid w:val="00BF64CA"/>
    <w:rsid w:val="00BF672E"/>
    <w:rsid w:val="00BF68BB"/>
    <w:rsid w:val="00BF7AAE"/>
    <w:rsid w:val="00C00439"/>
    <w:rsid w:val="00C0178F"/>
    <w:rsid w:val="00C029DC"/>
    <w:rsid w:val="00C02B28"/>
    <w:rsid w:val="00C02BE3"/>
    <w:rsid w:val="00C04A11"/>
    <w:rsid w:val="00C04A81"/>
    <w:rsid w:val="00C04AFA"/>
    <w:rsid w:val="00C04D0C"/>
    <w:rsid w:val="00C04F7C"/>
    <w:rsid w:val="00C05372"/>
    <w:rsid w:val="00C05771"/>
    <w:rsid w:val="00C0678F"/>
    <w:rsid w:val="00C073D9"/>
    <w:rsid w:val="00C118EA"/>
    <w:rsid w:val="00C12101"/>
    <w:rsid w:val="00C128C2"/>
    <w:rsid w:val="00C12F31"/>
    <w:rsid w:val="00C1429A"/>
    <w:rsid w:val="00C146A3"/>
    <w:rsid w:val="00C15BFA"/>
    <w:rsid w:val="00C15DC3"/>
    <w:rsid w:val="00C171EA"/>
    <w:rsid w:val="00C17775"/>
    <w:rsid w:val="00C22B74"/>
    <w:rsid w:val="00C247EC"/>
    <w:rsid w:val="00C24C54"/>
    <w:rsid w:val="00C25A47"/>
    <w:rsid w:val="00C26B1C"/>
    <w:rsid w:val="00C27BA1"/>
    <w:rsid w:val="00C30325"/>
    <w:rsid w:val="00C30E2B"/>
    <w:rsid w:val="00C30E8C"/>
    <w:rsid w:val="00C331A8"/>
    <w:rsid w:val="00C36A43"/>
    <w:rsid w:val="00C377FB"/>
    <w:rsid w:val="00C41882"/>
    <w:rsid w:val="00C4218D"/>
    <w:rsid w:val="00C42652"/>
    <w:rsid w:val="00C42734"/>
    <w:rsid w:val="00C42F96"/>
    <w:rsid w:val="00C438DD"/>
    <w:rsid w:val="00C47006"/>
    <w:rsid w:val="00C472BB"/>
    <w:rsid w:val="00C50BEA"/>
    <w:rsid w:val="00C51501"/>
    <w:rsid w:val="00C524FA"/>
    <w:rsid w:val="00C528F0"/>
    <w:rsid w:val="00C55619"/>
    <w:rsid w:val="00C558C7"/>
    <w:rsid w:val="00C55EA5"/>
    <w:rsid w:val="00C56AA5"/>
    <w:rsid w:val="00C56EBA"/>
    <w:rsid w:val="00C56F4B"/>
    <w:rsid w:val="00C61550"/>
    <w:rsid w:val="00C63D99"/>
    <w:rsid w:val="00C67861"/>
    <w:rsid w:val="00C7024B"/>
    <w:rsid w:val="00C72B32"/>
    <w:rsid w:val="00C73027"/>
    <w:rsid w:val="00C73E45"/>
    <w:rsid w:val="00C74166"/>
    <w:rsid w:val="00C75AD6"/>
    <w:rsid w:val="00C76791"/>
    <w:rsid w:val="00C76A6D"/>
    <w:rsid w:val="00C76A91"/>
    <w:rsid w:val="00C775CB"/>
    <w:rsid w:val="00C77D23"/>
    <w:rsid w:val="00C77D28"/>
    <w:rsid w:val="00C802C0"/>
    <w:rsid w:val="00C80495"/>
    <w:rsid w:val="00C81A76"/>
    <w:rsid w:val="00C83696"/>
    <w:rsid w:val="00C84383"/>
    <w:rsid w:val="00C8440A"/>
    <w:rsid w:val="00C8527F"/>
    <w:rsid w:val="00C87736"/>
    <w:rsid w:val="00C9023C"/>
    <w:rsid w:val="00C93157"/>
    <w:rsid w:val="00C9331A"/>
    <w:rsid w:val="00C956D9"/>
    <w:rsid w:val="00C96920"/>
    <w:rsid w:val="00C96F3A"/>
    <w:rsid w:val="00C97C2C"/>
    <w:rsid w:val="00CA1224"/>
    <w:rsid w:val="00CA3958"/>
    <w:rsid w:val="00CA396A"/>
    <w:rsid w:val="00CA3EAA"/>
    <w:rsid w:val="00CA407D"/>
    <w:rsid w:val="00CA4212"/>
    <w:rsid w:val="00CA6146"/>
    <w:rsid w:val="00CA65F4"/>
    <w:rsid w:val="00CA7B86"/>
    <w:rsid w:val="00CB032D"/>
    <w:rsid w:val="00CB099F"/>
    <w:rsid w:val="00CB0CB6"/>
    <w:rsid w:val="00CB21B0"/>
    <w:rsid w:val="00CB2978"/>
    <w:rsid w:val="00CB2B21"/>
    <w:rsid w:val="00CB398C"/>
    <w:rsid w:val="00CB6260"/>
    <w:rsid w:val="00CB68CA"/>
    <w:rsid w:val="00CC0865"/>
    <w:rsid w:val="00CC14F7"/>
    <w:rsid w:val="00CC202B"/>
    <w:rsid w:val="00CC266F"/>
    <w:rsid w:val="00CC37D3"/>
    <w:rsid w:val="00CC7002"/>
    <w:rsid w:val="00CC718E"/>
    <w:rsid w:val="00CC7EB3"/>
    <w:rsid w:val="00CD2A92"/>
    <w:rsid w:val="00CD34D5"/>
    <w:rsid w:val="00CD54CE"/>
    <w:rsid w:val="00CD5564"/>
    <w:rsid w:val="00CD5EE4"/>
    <w:rsid w:val="00CD6729"/>
    <w:rsid w:val="00CD6BE0"/>
    <w:rsid w:val="00CD6FF2"/>
    <w:rsid w:val="00CE24FD"/>
    <w:rsid w:val="00CE2EED"/>
    <w:rsid w:val="00CE327E"/>
    <w:rsid w:val="00CE48F3"/>
    <w:rsid w:val="00CE4BEC"/>
    <w:rsid w:val="00CE52E1"/>
    <w:rsid w:val="00CE66CD"/>
    <w:rsid w:val="00CE7C27"/>
    <w:rsid w:val="00CF0F69"/>
    <w:rsid w:val="00CF10F2"/>
    <w:rsid w:val="00CF12BD"/>
    <w:rsid w:val="00CF1506"/>
    <w:rsid w:val="00CF2552"/>
    <w:rsid w:val="00CF2C56"/>
    <w:rsid w:val="00CF3559"/>
    <w:rsid w:val="00CF4558"/>
    <w:rsid w:val="00CF5DA3"/>
    <w:rsid w:val="00CF5E73"/>
    <w:rsid w:val="00CF5E7C"/>
    <w:rsid w:val="00CF6D22"/>
    <w:rsid w:val="00CF7C0D"/>
    <w:rsid w:val="00D0023F"/>
    <w:rsid w:val="00D009FD"/>
    <w:rsid w:val="00D014E7"/>
    <w:rsid w:val="00D03B5E"/>
    <w:rsid w:val="00D043C9"/>
    <w:rsid w:val="00D05FB9"/>
    <w:rsid w:val="00D0762C"/>
    <w:rsid w:val="00D105F0"/>
    <w:rsid w:val="00D10B10"/>
    <w:rsid w:val="00D1188A"/>
    <w:rsid w:val="00D11B58"/>
    <w:rsid w:val="00D14B0D"/>
    <w:rsid w:val="00D151ED"/>
    <w:rsid w:val="00D154C9"/>
    <w:rsid w:val="00D15756"/>
    <w:rsid w:val="00D20D17"/>
    <w:rsid w:val="00D2278B"/>
    <w:rsid w:val="00D2432E"/>
    <w:rsid w:val="00D249F4"/>
    <w:rsid w:val="00D24E6B"/>
    <w:rsid w:val="00D26BB8"/>
    <w:rsid w:val="00D26F33"/>
    <w:rsid w:val="00D30327"/>
    <w:rsid w:val="00D30562"/>
    <w:rsid w:val="00D30F0B"/>
    <w:rsid w:val="00D312FF"/>
    <w:rsid w:val="00D329A5"/>
    <w:rsid w:val="00D3337B"/>
    <w:rsid w:val="00D3365A"/>
    <w:rsid w:val="00D34B17"/>
    <w:rsid w:val="00D34E9F"/>
    <w:rsid w:val="00D35881"/>
    <w:rsid w:val="00D35F06"/>
    <w:rsid w:val="00D35FF2"/>
    <w:rsid w:val="00D361E5"/>
    <w:rsid w:val="00D36477"/>
    <w:rsid w:val="00D37147"/>
    <w:rsid w:val="00D40796"/>
    <w:rsid w:val="00D42B8F"/>
    <w:rsid w:val="00D43497"/>
    <w:rsid w:val="00D46B5A"/>
    <w:rsid w:val="00D472A5"/>
    <w:rsid w:val="00D50083"/>
    <w:rsid w:val="00D50A58"/>
    <w:rsid w:val="00D51531"/>
    <w:rsid w:val="00D52361"/>
    <w:rsid w:val="00D53821"/>
    <w:rsid w:val="00D539D2"/>
    <w:rsid w:val="00D54ED2"/>
    <w:rsid w:val="00D60A02"/>
    <w:rsid w:val="00D6107C"/>
    <w:rsid w:val="00D61906"/>
    <w:rsid w:val="00D623D0"/>
    <w:rsid w:val="00D62FC5"/>
    <w:rsid w:val="00D641BA"/>
    <w:rsid w:val="00D64205"/>
    <w:rsid w:val="00D644F3"/>
    <w:rsid w:val="00D7009F"/>
    <w:rsid w:val="00D71B38"/>
    <w:rsid w:val="00D7234F"/>
    <w:rsid w:val="00D72701"/>
    <w:rsid w:val="00D72754"/>
    <w:rsid w:val="00D7385B"/>
    <w:rsid w:val="00D75697"/>
    <w:rsid w:val="00D76FD9"/>
    <w:rsid w:val="00D80114"/>
    <w:rsid w:val="00D80ED5"/>
    <w:rsid w:val="00D83520"/>
    <w:rsid w:val="00D8360A"/>
    <w:rsid w:val="00D85B7D"/>
    <w:rsid w:val="00D86742"/>
    <w:rsid w:val="00D86DF1"/>
    <w:rsid w:val="00D87BC9"/>
    <w:rsid w:val="00D87C7E"/>
    <w:rsid w:val="00D909D6"/>
    <w:rsid w:val="00D90BDD"/>
    <w:rsid w:val="00D91169"/>
    <w:rsid w:val="00D91A9E"/>
    <w:rsid w:val="00D93C90"/>
    <w:rsid w:val="00D950B3"/>
    <w:rsid w:val="00D95991"/>
    <w:rsid w:val="00D96F7C"/>
    <w:rsid w:val="00D97D29"/>
    <w:rsid w:val="00DA0D19"/>
    <w:rsid w:val="00DA1765"/>
    <w:rsid w:val="00DA2B21"/>
    <w:rsid w:val="00DA48AC"/>
    <w:rsid w:val="00DA4EE1"/>
    <w:rsid w:val="00DA58C6"/>
    <w:rsid w:val="00DA795F"/>
    <w:rsid w:val="00DB04BC"/>
    <w:rsid w:val="00DB07C7"/>
    <w:rsid w:val="00DB083D"/>
    <w:rsid w:val="00DB1B76"/>
    <w:rsid w:val="00DB5344"/>
    <w:rsid w:val="00DB69E5"/>
    <w:rsid w:val="00DC01AC"/>
    <w:rsid w:val="00DC093D"/>
    <w:rsid w:val="00DC09A6"/>
    <w:rsid w:val="00DC0D01"/>
    <w:rsid w:val="00DC1CFE"/>
    <w:rsid w:val="00DC2133"/>
    <w:rsid w:val="00DC2981"/>
    <w:rsid w:val="00DC3EA3"/>
    <w:rsid w:val="00DC40AD"/>
    <w:rsid w:val="00DC438E"/>
    <w:rsid w:val="00DC5580"/>
    <w:rsid w:val="00DC576F"/>
    <w:rsid w:val="00DC5C89"/>
    <w:rsid w:val="00DC61F7"/>
    <w:rsid w:val="00DD0138"/>
    <w:rsid w:val="00DD23D3"/>
    <w:rsid w:val="00DD29A8"/>
    <w:rsid w:val="00DD31FA"/>
    <w:rsid w:val="00DD3885"/>
    <w:rsid w:val="00DD4C5C"/>
    <w:rsid w:val="00DD4E56"/>
    <w:rsid w:val="00DD5E9F"/>
    <w:rsid w:val="00DE0379"/>
    <w:rsid w:val="00DE0C1C"/>
    <w:rsid w:val="00DE0CAD"/>
    <w:rsid w:val="00DE2A04"/>
    <w:rsid w:val="00DE2C4B"/>
    <w:rsid w:val="00DE312F"/>
    <w:rsid w:val="00DE4305"/>
    <w:rsid w:val="00DE4739"/>
    <w:rsid w:val="00DE487B"/>
    <w:rsid w:val="00DE4955"/>
    <w:rsid w:val="00DE4F27"/>
    <w:rsid w:val="00DE5B70"/>
    <w:rsid w:val="00DE63C1"/>
    <w:rsid w:val="00DE6A77"/>
    <w:rsid w:val="00DE758A"/>
    <w:rsid w:val="00DF0233"/>
    <w:rsid w:val="00DF0943"/>
    <w:rsid w:val="00DF102C"/>
    <w:rsid w:val="00DF1776"/>
    <w:rsid w:val="00DF1956"/>
    <w:rsid w:val="00DF2B21"/>
    <w:rsid w:val="00DF363B"/>
    <w:rsid w:val="00DF44C2"/>
    <w:rsid w:val="00DF4C9B"/>
    <w:rsid w:val="00DF54C5"/>
    <w:rsid w:val="00DF585D"/>
    <w:rsid w:val="00DF5BAE"/>
    <w:rsid w:val="00DF6EED"/>
    <w:rsid w:val="00E00288"/>
    <w:rsid w:val="00E008D9"/>
    <w:rsid w:val="00E03E13"/>
    <w:rsid w:val="00E04B43"/>
    <w:rsid w:val="00E04C35"/>
    <w:rsid w:val="00E0512B"/>
    <w:rsid w:val="00E07BBE"/>
    <w:rsid w:val="00E10888"/>
    <w:rsid w:val="00E11DEF"/>
    <w:rsid w:val="00E13F63"/>
    <w:rsid w:val="00E15060"/>
    <w:rsid w:val="00E150B6"/>
    <w:rsid w:val="00E151B1"/>
    <w:rsid w:val="00E16AB4"/>
    <w:rsid w:val="00E1728D"/>
    <w:rsid w:val="00E17F6D"/>
    <w:rsid w:val="00E21607"/>
    <w:rsid w:val="00E21E7F"/>
    <w:rsid w:val="00E22419"/>
    <w:rsid w:val="00E22478"/>
    <w:rsid w:val="00E22C38"/>
    <w:rsid w:val="00E24CE2"/>
    <w:rsid w:val="00E25878"/>
    <w:rsid w:val="00E262C3"/>
    <w:rsid w:val="00E26820"/>
    <w:rsid w:val="00E26982"/>
    <w:rsid w:val="00E3052A"/>
    <w:rsid w:val="00E30769"/>
    <w:rsid w:val="00E318D9"/>
    <w:rsid w:val="00E3211E"/>
    <w:rsid w:val="00E32AF4"/>
    <w:rsid w:val="00E32FEB"/>
    <w:rsid w:val="00E33731"/>
    <w:rsid w:val="00E3468E"/>
    <w:rsid w:val="00E376B5"/>
    <w:rsid w:val="00E37946"/>
    <w:rsid w:val="00E37A9E"/>
    <w:rsid w:val="00E41279"/>
    <w:rsid w:val="00E416A5"/>
    <w:rsid w:val="00E43209"/>
    <w:rsid w:val="00E43234"/>
    <w:rsid w:val="00E43E70"/>
    <w:rsid w:val="00E45A15"/>
    <w:rsid w:val="00E526EA"/>
    <w:rsid w:val="00E529E8"/>
    <w:rsid w:val="00E53623"/>
    <w:rsid w:val="00E56332"/>
    <w:rsid w:val="00E56911"/>
    <w:rsid w:val="00E602B8"/>
    <w:rsid w:val="00E603A6"/>
    <w:rsid w:val="00E605B0"/>
    <w:rsid w:val="00E625FC"/>
    <w:rsid w:val="00E62686"/>
    <w:rsid w:val="00E643AB"/>
    <w:rsid w:val="00E64DD8"/>
    <w:rsid w:val="00E6581E"/>
    <w:rsid w:val="00E678FA"/>
    <w:rsid w:val="00E67AA3"/>
    <w:rsid w:val="00E67CE0"/>
    <w:rsid w:val="00E71A61"/>
    <w:rsid w:val="00E73840"/>
    <w:rsid w:val="00E73A64"/>
    <w:rsid w:val="00E741C9"/>
    <w:rsid w:val="00E752AD"/>
    <w:rsid w:val="00E75BCC"/>
    <w:rsid w:val="00E765F8"/>
    <w:rsid w:val="00E774C5"/>
    <w:rsid w:val="00E77832"/>
    <w:rsid w:val="00E8119F"/>
    <w:rsid w:val="00E8121A"/>
    <w:rsid w:val="00E81880"/>
    <w:rsid w:val="00E82509"/>
    <w:rsid w:val="00E827B5"/>
    <w:rsid w:val="00E82E5E"/>
    <w:rsid w:val="00E83756"/>
    <w:rsid w:val="00E83B2C"/>
    <w:rsid w:val="00E83BFB"/>
    <w:rsid w:val="00E84E26"/>
    <w:rsid w:val="00E85ECC"/>
    <w:rsid w:val="00E87EFC"/>
    <w:rsid w:val="00E91147"/>
    <w:rsid w:val="00E923D1"/>
    <w:rsid w:val="00E92825"/>
    <w:rsid w:val="00E92ACE"/>
    <w:rsid w:val="00E937BE"/>
    <w:rsid w:val="00E94599"/>
    <w:rsid w:val="00E94654"/>
    <w:rsid w:val="00E956C7"/>
    <w:rsid w:val="00E97861"/>
    <w:rsid w:val="00EA0A83"/>
    <w:rsid w:val="00EA15FA"/>
    <w:rsid w:val="00EA28FF"/>
    <w:rsid w:val="00EA36CA"/>
    <w:rsid w:val="00EA3840"/>
    <w:rsid w:val="00EA39E5"/>
    <w:rsid w:val="00EA3C46"/>
    <w:rsid w:val="00EA454D"/>
    <w:rsid w:val="00EA4BA2"/>
    <w:rsid w:val="00EA52C5"/>
    <w:rsid w:val="00EA5A97"/>
    <w:rsid w:val="00EA5F6B"/>
    <w:rsid w:val="00EA608C"/>
    <w:rsid w:val="00EA6A64"/>
    <w:rsid w:val="00EB019C"/>
    <w:rsid w:val="00EB0C33"/>
    <w:rsid w:val="00EB0C61"/>
    <w:rsid w:val="00EB1356"/>
    <w:rsid w:val="00EB1D56"/>
    <w:rsid w:val="00EB467C"/>
    <w:rsid w:val="00EB498A"/>
    <w:rsid w:val="00EB5346"/>
    <w:rsid w:val="00EB5CD2"/>
    <w:rsid w:val="00EB66A5"/>
    <w:rsid w:val="00EB6D21"/>
    <w:rsid w:val="00EB70D1"/>
    <w:rsid w:val="00EB717D"/>
    <w:rsid w:val="00EC0B53"/>
    <w:rsid w:val="00EC2D19"/>
    <w:rsid w:val="00EC35AF"/>
    <w:rsid w:val="00EC3C86"/>
    <w:rsid w:val="00EC3D05"/>
    <w:rsid w:val="00EC46A1"/>
    <w:rsid w:val="00EC517D"/>
    <w:rsid w:val="00EC61F1"/>
    <w:rsid w:val="00EC6804"/>
    <w:rsid w:val="00EC7D65"/>
    <w:rsid w:val="00ED2248"/>
    <w:rsid w:val="00ED448E"/>
    <w:rsid w:val="00ED53F0"/>
    <w:rsid w:val="00ED7377"/>
    <w:rsid w:val="00ED7575"/>
    <w:rsid w:val="00ED7A4F"/>
    <w:rsid w:val="00ED7D54"/>
    <w:rsid w:val="00EE078D"/>
    <w:rsid w:val="00EE08FC"/>
    <w:rsid w:val="00EE0A10"/>
    <w:rsid w:val="00EE1DB0"/>
    <w:rsid w:val="00EE20F7"/>
    <w:rsid w:val="00EE39AF"/>
    <w:rsid w:val="00EE4ABC"/>
    <w:rsid w:val="00EE52D5"/>
    <w:rsid w:val="00EE52D6"/>
    <w:rsid w:val="00EE5C70"/>
    <w:rsid w:val="00EE6306"/>
    <w:rsid w:val="00EE641C"/>
    <w:rsid w:val="00EF08F4"/>
    <w:rsid w:val="00EF13CD"/>
    <w:rsid w:val="00EF348C"/>
    <w:rsid w:val="00EF37BC"/>
    <w:rsid w:val="00EF3AFC"/>
    <w:rsid w:val="00EF3D41"/>
    <w:rsid w:val="00EF3F3F"/>
    <w:rsid w:val="00EF45F1"/>
    <w:rsid w:val="00EF5C36"/>
    <w:rsid w:val="00EF62BC"/>
    <w:rsid w:val="00EF76E0"/>
    <w:rsid w:val="00EF795E"/>
    <w:rsid w:val="00F011EB"/>
    <w:rsid w:val="00F015C2"/>
    <w:rsid w:val="00F01733"/>
    <w:rsid w:val="00F01A64"/>
    <w:rsid w:val="00F01A70"/>
    <w:rsid w:val="00F01DDE"/>
    <w:rsid w:val="00F02564"/>
    <w:rsid w:val="00F02633"/>
    <w:rsid w:val="00F027B5"/>
    <w:rsid w:val="00F03ECA"/>
    <w:rsid w:val="00F07AD2"/>
    <w:rsid w:val="00F107E3"/>
    <w:rsid w:val="00F10E3B"/>
    <w:rsid w:val="00F116B3"/>
    <w:rsid w:val="00F11CDB"/>
    <w:rsid w:val="00F12B71"/>
    <w:rsid w:val="00F13686"/>
    <w:rsid w:val="00F14252"/>
    <w:rsid w:val="00F14506"/>
    <w:rsid w:val="00F1566B"/>
    <w:rsid w:val="00F16D03"/>
    <w:rsid w:val="00F21027"/>
    <w:rsid w:val="00F21518"/>
    <w:rsid w:val="00F2168B"/>
    <w:rsid w:val="00F21BA9"/>
    <w:rsid w:val="00F21C97"/>
    <w:rsid w:val="00F222C1"/>
    <w:rsid w:val="00F226B4"/>
    <w:rsid w:val="00F237EF"/>
    <w:rsid w:val="00F2702F"/>
    <w:rsid w:val="00F304FE"/>
    <w:rsid w:val="00F3087E"/>
    <w:rsid w:val="00F32CF2"/>
    <w:rsid w:val="00F33EC0"/>
    <w:rsid w:val="00F3416C"/>
    <w:rsid w:val="00F34BC8"/>
    <w:rsid w:val="00F34D26"/>
    <w:rsid w:val="00F35883"/>
    <w:rsid w:val="00F35ADF"/>
    <w:rsid w:val="00F35EA7"/>
    <w:rsid w:val="00F35EBE"/>
    <w:rsid w:val="00F360B8"/>
    <w:rsid w:val="00F368D5"/>
    <w:rsid w:val="00F36B27"/>
    <w:rsid w:val="00F4101D"/>
    <w:rsid w:val="00F41FC6"/>
    <w:rsid w:val="00F42153"/>
    <w:rsid w:val="00F436BB"/>
    <w:rsid w:val="00F43EAB"/>
    <w:rsid w:val="00F447E2"/>
    <w:rsid w:val="00F4550F"/>
    <w:rsid w:val="00F45C51"/>
    <w:rsid w:val="00F47089"/>
    <w:rsid w:val="00F50B9E"/>
    <w:rsid w:val="00F50FA3"/>
    <w:rsid w:val="00F511AD"/>
    <w:rsid w:val="00F516DC"/>
    <w:rsid w:val="00F53331"/>
    <w:rsid w:val="00F53C48"/>
    <w:rsid w:val="00F541BC"/>
    <w:rsid w:val="00F5442B"/>
    <w:rsid w:val="00F55034"/>
    <w:rsid w:val="00F55F1D"/>
    <w:rsid w:val="00F567CE"/>
    <w:rsid w:val="00F56D9D"/>
    <w:rsid w:val="00F606EB"/>
    <w:rsid w:val="00F6120F"/>
    <w:rsid w:val="00F621FA"/>
    <w:rsid w:val="00F6305D"/>
    <w:rsid w:val="00F632EE"/>
    <w:rsid w:val="00F63870"/>
    <w:rsid w:val="00F644CE"/>
    <w:rsid w:val="00F64C27"/>
    <w:rsid w:val="00F65CDC"/>
    <w:rsid w:val="00F66BAF"/>
    <w:rsid w:val="00F70ECF"/>
    <w:rsid w:val="00F71B22"/>
    <w:rsid w:val="00F71DC9"/>
    <w:rsid w:val="00F7278D"/>
    <w:rsid w:val="00F72DA5"/>
    <w:rsid w:val="00F73AE9"/>
    <w:rsid w:val="00F74203"/>
    <w:rsid w:val="00F74601"/>
    <w:rsid w:val="00F746C4"/>
    <w:rsid w:val="00F75583"/>
    <w:rsid w:val="00F77D7A"/>
    <w:rsid w:val="00F80317"/>
    <w:rsid w:val="00F809D8"/>
    <w:rsid w:val="00F80B61"/>
    <w:rsid w:val="00F8163D"/>
    <w:rsid w:val="00F82157"/>
    <w:rsid w:val="00F83861"/>
    <w:rsid w:val="00F83C4E"/>
    <w:rsid w:val="00F84443"/>
    <w:rsid w:val="00F84C76"/>
    <w:rsid w:val="00F851BA"/>
    <w:rsid w:val="00F85744"/>
    <w:rsid w:val="00F857EB"/>
    <w:rsid w:val="00F87273"/>
    <w:rsid w:val="00F87A09"/>
    <w:rsid w:val="00F91774"/>
    <w:rsid w:val="00F92917"/>
    <w:rsid w:val="00F92C31"/>
    <w:rsid w:val="00F9481E"/>
    <w:rsid w:val="00F94D80"/>
    <w:rsid w:val="00F95131"/>
    <w:rsid w:val="00F95409"/>
    <w:rsid w:val="00F962C8"/>
    <w:rsid w:val="00F96A06"/>
    <w:rsid w:val="00F96D72"/>
    <w:rsid w:val="00FA0891"/>
    <w:rsid w:val="00FA0B81"/>
    <w:rsid w:val="00FA173C"/>
    <w:rsid w:val="00FA1763"/>
    <w:rsid w:val="00FA2637"/>
    <w:rsid w:val="00FA2E05"/>
    <w:rsid w:val="00FA342F"/>
    <w:rsid w:val="00FA35B0"/>
    <w:rsid w:val="00FA3739"/>
    <w:rsid w:val="00FA3E99"/>
    <w:rsid w:val="00FA47C4"/>
    <w:rsid w:val="00FA754F"/>
    <w:rsid w:val="00FA7652"/>
    <w:rsid w:val="00FB1329"/>
    <w:rsid w:val="00FB33CF"/>
    <w:rsid w:val="00FB4514"/>
    <w:rsid w:val="00FB4641"/>
    <w:rsid w:val="00FB4A7E"/>
    <w:rsid w:val="00FB4E10"/>
    <w:rsid w:val="00FB5D10"/>
    <w:rsid w:val="00FB7466"/>
    <w:rsid w:val="00FC1B79"/>
    <w:rsid w:val="00FC319B"/>
    <w:rsid w:val="00FC4561"/>
    <w:rsid w:val="00FC529F"/>
    <w:rsid w:val="00FC60AF"/>
    <w:rsid w:val="00FD1910"/>
    <w:rsid w:val="00FD2739"/>
    <w:rsid w:val="00FD3A14"/>
    <w:rsid w:val="00FD3E1E"/>
    <w:rsid w:val="00FD6BAF"/>
    <w:rsid w:val="00FE006A"/>
    <w:rsid w:val="00FE075F"/>
    <w:rsid w:val="00FE0B0A"/>
    <w:rsid w:val="00FE0DD4"/>
    <w:rsid w:val="00FE13FA"/>
    <w:rsid w:val="00FE1708"/>
    <w:rsid w:val="00FE1E8C"/>
    <w:rsid w:val="00FE2C85"/>
    <w:rsid w:val="00FE33AF"/>
    <w:rsid w:val="00FE4074"/>
    <w:rsid w:val="00FE471E"/>
    <w:rsid w:val="00FE4B48"/>
    <w:rsid w:val="00FE4F0E"/>
    <w:rsid w:val="00FE5ED3"/>
    <w:rsid w:val="00FE6547"/>
    <w:rsid w:val="00FE65DA"/>
    <w:rsid w:val="00FE6B09"/>
    <w:rsid w:val="00FE77D5"/>
    <w:rsid w:val="00FF0632"/>
    <w:rsid w:val="00FF1042"/>
    <w:rsid w:val="00FF1222"/>
    <w:rsid w:val="00FF1FCD"/>
    <w:rsid w:val="00FF5A7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57CAB52"/>
  <w15:docId w15:val="{3FD9E9A4-D518-4B78-A2DB-75A483B1F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5A7"/>
    <w:rPr>
      <w:rFonts w:ascii="Arial" w:hAnsi="Arial"/>
      <w:sz w:val="22"/>
      <w:szCs w:val="24"/>
    </w:rPr>
  </w:style>
  <w:style w:type="paragraph" w:styleId="Heading1">
    <w:name w:val="heading 1"/>
    <w:basedOn w:val="Normal"/>
    <w:next w:val="Normal"/>
    <w:qFormat/>
    <w:rsid w:val="005E79F6"/>
    <w:pPr>
      <w:keepNext/>
      <w:numPr>
        <w:numId w:val="4"/>
      </w:numPr>
      <w:spacing w:before="240" w:after="60"/>
      <w:outlineLvl w:val="0"/>
    </w:pPr>
    <w:rPr>
      <w:rFonts w:cs="Arial"/>
      <w:b/>
      <w:bCs/>
      <w:color w:val="008000"/>
      <w:kern w:val="32"/>
      <w:sz w:val="32"/>
      <w:szCs w:val="32"/>
    </w:rPr>
  </w:style>
  <w:style w:type="paragraph" w:styleId="Heading2">
    <w:name w:val="heading 2"/>
    <w:basedOn w:val="Normal"/>
    <w:next w:val="Normal"/>
    <w:link w:val="Heading2Char"/>
    <w:qFormat/>
    <w:rsid w:val="00850ADF"/>
    <w:pPr>
      <w:keepNext/>
      <w:numPr>
        <w:ilvl w:val="1"/>
        <w:numId w:val="4"/>
      </w:numPr>
      <w:spacing w:before="240" w:after="60"/>
      <w:outlineLvl w:val="1"/>
    </w:pPr>
    <w:rPr>
      <w:rFonts w:cs="Arial"/>
      <w:b/>
      <w:bCs/>
      <w:iCs/>
      <w:sz w:val="28"/>
      <w:szCs w:val="28"/>
    </w:rPr>
  </w:style>
  <w:style w:type="paragraph" w:styleId="Heading3">
    <w:name w:val="heading 3"/>
    <w:basedOn w:val="Normal"/>
    <w:next w:val="Normal"/>
    <w:qFormat/>
    <w:rsid w:val="007828B3"/>
    <w:pPr>
      <w:keepNext/>
      <w:numPr>
        <w:ilvl w:val="2"/>
        <w:numId w:val="4"/>
      </w:numPr>
      <w:tabs>
        <w:tab w:val="left" w:pos="851"/>
      </w:tabs>
      <w:spacing w:before="240" w:after="60"/>
      <w:outlineLvl w:val="2"/>
    </w:pPr>
    <w:rPr>
      <w:rFonts w:cs="Arial"/>
      <w:b/>
      <w:bCs/>
      <w:sz w:val="26"/>
      <w:szCs w:val="26"/>
      <w:lang w:eastAsia="en-CA"/>
    </w:rPr>
  </w:style>
  <w:style w:type="paragraph" w:styleId="Heading4">
    <w:name w:val="heading 4"/>
    <w:basedOn w:val="Normal"/>
    <w:next w:val="Normal"/>
    <w:qFormat/>
    <w:rsid w:val="000C5548"/>
    <w:pPr>
      <w:keepNext/>
      <w:numPr>
        <w:ilvl w:val="3"/>
        <w:numId w:val="4"/>
      </w:numPr>
      <w:spacing w:before="240" w:after="60"/>
      <w:outlineLvl w:val="3"/>
    </w:pPr>
    <w:rPr>
      <w:rFonts w:cs="Arial"/>
      <w:b/>
      <w:bCs/>
      <w:sz w:val="24"/>
    </w:rPr>
  </w:style>
  <w:style w:type="paragraph" w:styleId="Heading5">
    <w:name w:val="heading 5"/>
    <w:basedOn w:val="Normal"/>
    <w:next w:val="Normal"/>
    <w:qFormat/>
    <w:rsid w:val="00AF518A"/>
    <w:pPr>
      <w:keepNext/>
      <w:keepLines/>
      <w:numPr>
        <w:ilvl w:val="4"/>
        <w:numId w:val="4"/>
      </w:numPr>
      <w:spacing w:before="200" w:after="120" w:line="259" w:lineRule="auto"/>
      <w:outlineLvl w:val="4"/>
    </w:pPr>
    <w:rPr>
      <w:b/>
      <w:bCs/>
      <w:i/>
      <w:iCs/>
      <w:sz w:val="24"/>
    </w:rPr>
  </w:style>
  <w:style w:type="paragraph" w:styleId="Heading6">
    <w:name w:val="heading 6"/>
    <w:basedOn w:val="Normal"/>
    <w:next w:val="Normal"/>
    <w:qFormat/>
    <w:rsid w:val="00A435A7"/>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qFormat/>
    <w:rsid w:val="00A435A7"/>
    <w:pPr>
      <w:numPr>
        <w:ilvl w:val="6"/>
        <w:numId w:val="4"/>
      </w:numPr>
      <w:spacing w:before="240" w:after="60"/>
      <w:outlineLvl w:val="6"/>
    </w:pPr>
    <w:rPr>
      <w:rFonts w:ascii="Times New Roman" w:hAnsi="Times New Roman"/>
      <w:sz w:val="24"/>
    </w:rPr>
  </w:style>
  <w:style w:type="paragraph" w:styleId="Heading8">
    <w:name w:val="heading 8"/>
    <w:basedOn w:val="Normal"/>
    <w:next w:val="Normal"/>
    <w:qFormat/>
    <w:rsid w:val="00A435A7"/>
    <w:pPr>
      <w:numPr>
        <w:ilvl w:val="7"/>
        <w:numId w:val="4"/>
      </w:numPr>
      <w:spacing w:before="240" w:after="60"/>
      <w:outlineLvl w:val="7"/>
    </w:pPr>
    <w:rPr>
      <w:rFonts w:ascii="Times New Roman" w:hAnsi="Times New Roman"/>
      <w:i/>
      <w:iCs/>
      <w:sz w:val="24"/>
    </w:rPr>
  </w:style>
  <w:style w:type="paragraph" w:styleId="Heading9">
    <w:name w:val="heading 9"/>
    <w:basedOn w:val="Normal"/>
    <w:next w:val="Normal"/>
    <w:qFormat/>
    <w:rsid w:val="00A435A7"/>
    <w:pPr>
      <w:numPr>
        <w:ilvl w:val="8"/>
        <w:numId w:val="4"/>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1518B"/>
    <w:pPr>
      <w:tabs>
        <w:tab w:val="center" w:pos="4320"/>
        <w:tab w:val="right" w:pos="8640"/>
      </w:tabs>
    </w:pPr>
    <w:rPr>
      <w:b/>
      <w:color w:val="008000"/>
      <w:sz w:val="32"/>
    </w:rPr>
  </w:style>
  <w:style w:type="paragraph" w:styleId="Footer">
    <w:name w:val="footer"/>
    <w:basedOn w:val="Normal"/>
    <w:rsid w:val="00125574"/>
    <w:pPr>
      <w:tabs>
        <w:tab w:val="center" w:pos="4320"/>
        <w:tab w:val="right" w:pos="8640"/>
      </w:tabs>
    </w:pPr>
  </w:style>
  <w:style w:type="paragraph" w:styleId="NormalWeb">
    <w:name w:val="Normal (Web)"/>
    <w:basedOn w:val="Normal"/>
    <w:rsid w:val="003D06A7"/>
    <w:pPr>
      <w:spacing w:before="100" w:beforeAutospacing="1" w:after="100" w:afterAutospacing="1"/>
    </w:pPr>
    <w:rPr>
      <w:rFonts w:ascii="Verdana" w:hAnsi="Verdana" w:cs="Arial"/>
    </w:rPr>
  </w:style>
  <w:style w:type="character" w:styleId="Emphasis">
    <w:name w:val="Emphasis"/>
    <w:qFormat/>
    <w:rsid w:val="003D06A7"/>
    <w:rPr>
      <w:i/>
      <w:iCs/>
    </w:rPr>
  </w:style>
  <w:style w:type="paragraph" w:customStyle="1" w:styleId="Level1">
    <w:name w:val="Level 1"/>
    <w:rsid w:val="001B4470"/>
    <w:pPr>
      <w:widowControl w:val="0"/>
      <w:autoSpaceDE w:val="0"/>
      <w:autoSpaceDN w:val="0"/>
      <w:adjustRightInd w:val="0"/>
      <w:ind w:left="-144"/>
      <w:jc w:val="both"/>
    </w:pPr>
    <w:rPr>
      <w:sz w:val="24"/>
      <w:szCs w:val="24"/>
    </w:rPr>
  </w:style>
  <w:style w:type="paragraph" w:customStyle="1" w:styleId="CM20">
    <w:name w:val="CM20"/>
    <w:basedOn w:val="Normal"/>
    <w:next w:val="Normal"/>
    <w:rsid w:val="001F21CD"/>
    <w:pPr>
      <w:widowControl w:val="0"/>
      <w:autoSpaceDE w:val="0"/>
      <w:autoSpaceDN w:val="0"/>
      <w:adjustRightInd w:val="0"/>
    </w:pPr>
  </w:style>
  <w:style w:type="paragraph" w:customStyle="1" w:styleId="Default">
    <w:name w:val="Default"/>
    <w:rsid w:val="001F21CD"/>
    <w:pPr>
      <w:widowControl w:val="0"/>
      <w:autoSpaceDE w:val="0"/>
      <w:autoSpaceDN w:val="0"/>
      <w:adjustRightInd w:val="0"/>
    </w:pPr>
    <w:rPr>
      <w:rFonts w:ascii="Arial" w:hAnsi="Arial" w:cs="Arial"/>
      <w:color w:val="000000"/>
      <w:sz w:val="24"/>
      <w:szCs w:val="24"/>
    </w:rPr>
  </w:style>
  <w:style w:type="character" w:styleId="PageNumber">
    <w:name w:val="page number"/>
    <w:basedOn w:val="DefaultParagraphFont"/>
    <w:rsid w:val="00F4101D"/>
  </w:style>
  <w:style w:type="character" w:styleId="FootnoteReference">
    <w:name w:val="footnote reference"/>
    <w:uiPriority w:val="99"/>
    <w:semiHidden/>
    <w:rsid w:val="00F4101D"/>
    <w:rPr>
      <w:vertAlign w:val="superscript"/>
    </w:rPr>
  </w:style>
  <w:style w:type="paragraph" w:styleId="FootnoteText">
    <w:name w:val="footnote text"/>
    <w:basedOn w:val="Normal"/>
    <w:link w:val="FootnoteTextChar"/>
    <w:uiPriority w:val="99"/>
    <w:rsid w:val="00F4101D"/>
    <w:rPr>
      <w:sz w:val="20"/>
      <w:szCs w:val="20"/>
    </w:rPr>
  </w:style>
  <w:style w:type="character" w:styleId="Hyperlink">
    <w:name w:val="Hyperlink"/>
    <w:uiPriority w:val="99"/>
    <w:rsid w:val="00F621FA"/>
    <w:rPr>
      <w:color w:val="0000FF"/>
      <w:u w:val="single"/>
    </w:rPr>
  </w:style>
  <w:style w:type="table" w:styleId="TableGrid">
    <w:name w:val="Table Grid"/>
    <w:basedOn w:val="TableNormal"/>
    <w:uiPriority w:val="39"/>
    <w:rsid w:val="00DC09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0">
    <w:name w:val="EmailStyle20"/>
    <w:rsid w:val="001C0EB8"/>
    <w:rPr>
      <w:rFonts w:ascii="Arial" w:hAnsi="Arial" w:cs="Arial"/>
      <w:color w:val="000080"/>
      <w:sz w:val="20"/>
      <w:szCs w:val="20"/>
    </w:rPr>
  </w:style>
  <w:style w:type="paragraph" w:styleId="BodyText3">
    <w:name w:val="Body Text 3"/>
    <w:basedOn w:val="Normal"/>
    <w:rsid w:val="00DA2B21"/>
    <w:pPr>
      <w:pBdr>
        <w:left w:val="single" w:sz="12" w:space="31" w:color="000000"/>
      </w:pBdr>
      <w:spacing w:before="100" w:beforeAutospacing="1" w:after="100" w:afterAutospacing="1"/>
    </w:pPr>
    <w:rPr>
      <w:rFonts w:cs="Arial"/>
      <w:sz w:val="20"/>
      <w:szCs w:val="20"/>
    </w:rPr>
  </w:style>
  <w:style w:type="paragraph" w:customStyle="1" w:styleId="CM3">
    <w:name w:val="CM3"/>
    <w:basedOn w:val="Default"/>
    <w:next w:val="Default"/>
    <w:rsid w:val="00626C44"/>
    <w:pPr>
      <w:spacing w:after="558"/>
    </w:pPr>
    <w:rPr>
      <w:rFonts w:ascii="XOLKQZ+TTE167A4D0t00" w:hAnsi="XOLKQZ+TTE167A4D0t00" w:cs="Times New Roman"/>
      <w:color w:val="auto"/>
    </w:rPr>
  </w:style>
  <w:style w:type="character" w:styleId="CommentReference">
    <w:name w:val="annotation reference"/>
    <w:rsid w:val="007A3308"/>
    <w:rPr>
      <w:sz w:val="16"/>
      <w:szCs w:val="16"/>
    </w:rPr>
  </w:style>
  <w:style w:type="paragraph" w:styleId="CommentText">
    <w:name w:val="annotation text"/>
    <w:basedOn w:val="Normal"/>
    <w:link w:val="CommentTextChar"/>
    <w:rsid w:val="007A3308"/>
    <w:pPr>
      <w:autoSpaceDE w:val="0"/>
      <w:autoSpaceDN w:val="0"/>
      <w:adjustRightInd w:val="0"/>
    </w:pPr>
    <w:rPr>
      <w:sz w:val="20"/>
      <w:szCs w:val="20"/>
    </w:rPr>
  </w:style>
  <w:style w:type="paragraph" w:styleId="BalloonText">
    <w:name w:val="Balloon Text"/>
    <w:basedOn w:val="Normal"/>
    <w:semiHidden/>
    <w:rsid w:val="007A3308"/>
    <w:rPr>
      <w:rFonts w:ascii="Tahoma" w:hAnsi="Tahoma" w:cs="Tahoma"/>
      <w:sz w:val="16"/>
      <w:szCs w:val="16"/>
    </w:rPr>
  </w:style>
  <w:style w:type="paragraph" w:styleId="CommentSubject">
    <w:name w:val="annotation subject"/>
    <w:basedOn w:val="CommentText"/>
    <w:next w:val="CommentText"/>
    <w:semiHidden/>
    <w:rsid w:val="00FE1708"/>
    <w:pPr>
      <w:autoSpaceDE/>
      <w:autoSpaceDN/>
      <w:adjustRightInd/>
    </w:pPr>
    <w:rPr>
      <w:b/>
      <w:bCs/>
    </w:rPr>
  </w:style>
  <w:style w:type="paragraph" w:customStyle="1" w:styleId="CM5">
    <w:name w:val="CM5"/>
    <w:basedOn w:val="Normal"/>
    <w:next w:val="Normal"/>
    <w:rsid w:val="005338EE"/>
    <w:pPr>
      <w:widowControl w:val="0"/>
      <w:autoSpaceDE w:val="0"/>
      <w:autoSpaceDN w:val="0"/>
      <w:adjustRightInd w:val="0"/>
    </w:pPr>
  </w:style>
  <w:style w:type="paragraph" w:customStyle="1" w:styleId="CM6">
    <w:name w:val="CM6"/>
    <w:basedOn w:val="Normal"/>
    <w:next w:val="Normal"/>
    <w:rsid w:val="005338EE"/>
    <w:pPr>
      <w:widowControl w:val="0"/>
      <w:autoSpaceDE w:val="0"/>
      <w:autoSpaceDN w:val="0"/>
      <w:adjustRightInd w:val="0"/>
    </w:pPr>
  </w:style>
  <w:style w:type="character" w:styleId="HTMLAcronym">
    <w:name w:val="HTML Acronym"/>
    <w:basedOn w:val="DefaultParagraphFont"/>
    <w:rsid w:val="005338EE"/>
  </w:style>
  <w:style w:type="character" w:styleId="Strong">
    <w:name w:val="Strong"/>
    <w:qFormat/>
    <w:rsid w:val="005338EE"/>
    <w:rPr>
      <w:b/>
      <w:bCs/>
    </w:rPr>
  </w:style>
  <w:style w:type="paragraph" w:styleId="BodyTextIndent2">
    <w:name w:val="Body Text Indent 2"/>
    <w:basedOn w:val="Normal"/>
    <w:rsid w:val="00823A73"/>
    <w:pPr>
      <w:spacing w:after="120" w:line="480" w:lineRule="auto"/>
      <w:ind w:left="360"/>
    </w:pPr>
  </w:style>
  <w:style w:type="paragraph" w:customStyle="1" w:styleId="Outline0011">
    <w:name w:val="Outline001_1"/>
    <w:basedOn w:val="Normal"/>
    <w:rsid w:val="00DA58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Pr>
      <w:szCs w:val="20"/>
      <w:lang w:eastAsia="en-CA"/>
    </w:rPr>
  </w:style>
  <w:style w:type="paragraph" w:customStyle="1" w:styleId="Outline0012">
    <w:name w:val="Outline001_2"/>
    <w:basedOn w:val="Normal"/>
    <w:rsid w:val="00DA58C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360"/>
    </w:pPr>
    <w:rPr>
      <w:szCs w:val="20"/>
      <w:lang w:eastAsia="en-CA"/>
    </w:rPr>
  </w:style>
  <w:style w:type="paragraph" w:customStyle="1" w:styleId="Outline0013">
    <w:name w:val="Outline001_3"/>
    <w:basedOn w:val="Normal"/>
    <w:rsid w:val="00DA58C6"/>
    <w:pPr>
      <w:widowControl w:val="0"/>
      <w:tabs>
        <w:tab w:val="left" w:pos="2160"/>
        <w:tab w:val="left" w:pos="2880"/>
        <w:tab w:val="left" w:pos="3600"/>
        <w:tab w:val="left" w:pos="4320"/>
        <w:tab w:val="left" w:pos="5040"/>
        <w:tab w:val="left" w:pos="5760"/>
        <w:tab w:val="left" w:pos="6480"/>
        <w:tab w:val="left" w:pos="7200"/>
        <w:tab w:val="left" w:pos="7920"/>
      </w:tabs>
      <w:ind w:left="2160" w:hanging="180"/>
    </w:pPr>
    <w:rPr>
      <w:szCs w:val="20"/>
      <w:lang w:eastAsia="en-CA"/>
    </w:rPr>
  </w:style>
  <w:style w:type="paragraph" w:customStyle="1" w:styleId="Outline0014">
    <w:name w:val="Outline001_4"/>
    <w:basedOn w:val="Normal"/>
    <w:rsid w:val="00DA58C6"/>
    <w:pPr>
      <w:widowControl w:val="0"/>
      <w:tabs>
        <w:tab w:val="left" w:pos="2880"/>
        <w:tab w:val="left" w:pos="3600"/>
        <w:tab w:val="left" w:pos="4320"/>
        <w:tab w:val="left" w:pos="5040"/>
        <w:tab w:val="left" w:pos="5760"/>
        <w:tab w:val="left" w:pos="6480"/>
        <w:tab w:val="left" w:pos="7200"/>
        <w:tab w:val="left" w:pos="7920"/>
      </w:tabs>
      <w:ind w:left="2880" w:hanging="360"/>
    </w:pPr>
    <w:rPr>
      <w:szCs w:val="20"/>
      <w:lang w:eastAsia="en-CA"/>
    </w:rPr>
  </w:style>
  <w:style w:type="paragraph" w:customStyle="1" w:styleId="Outline0015">
    <w:name w:val="Outline001_5"/>
    <w:basedOn w:val="Normal"/>
    <w:rsid w:val="00DA58C6"/>
    <w:pPr>
      <w:widowControl w:val="0"/>
      <w:tabs>
        <w:tab w:val="left" w:pos="3600"/>
        <w:tab w:val="left" w:pos="4320"/>
        <w:tab w:val="left" w:pos="5040"/>
        <w:tab w:val="left" w:pos="5760"/>
        <w:tab w:val="left" w:pos="6480"/>
        <w:tab w:val="left" w:pos="7200"/>
        <w:tab w:val="left" w:pos="7920"/>
      </w:tabs>
      <w:ind w:left="3600" w:hanging="360"/>
    </w:pPr>
    <w:rPr>
      <w:szCs w:val="20"/>
      <w:lang w:eastAsia="en-CA"/>
    </w:rPr>
  </w:style>
  <w:style w:type="paragraph" w:customStyle="1" w:styleId="Outline0016">
    <w:name w:val="Outline001_6"/>
    <w:basedOn w:val="Normal"/>
    <w:rsid w:val="00DA58C6"/>
    <w:pPr>
      <w:widowControl w:val="0"/>
      <w:tabs>
        <w:tab w:val="left" w:pos="4320"/>
        <w:tab w:val="left" w:pos="5040"/>
        <w:tab w:val="left" w:pos="5760"/>
        <w:tab w:val="left" w:pos="6480"/>
        <w:tab w:val="left" w:pos="7200"/>
        <w:tab w:val="left" w:pos="7920"/>
      </w:tabs>
      <w:ind w:left="4320" w:hanging="180"/>
    </w:pPr>
    <w:rPr>
      <w:szCs w:val="20"/>
      <w:lang w:eastAsia="en-CA"/>
    </w:rPr>
  </w:style>
  <w:style w:type="paragraph" w:customStyle="1" w:styleId="Outline0017">
    <w:name w:val="Outline001_7"/>
    <w:basedOn w:val="Normal"/>
    <w:rsid w:val="00DA58C6"/>
    <w:pPr>
      <w:widowControl w:val="0"/>
      <w:tabs>
        <w:tab w:val="left" w:pos="5040"/>
        <w:tab w:val="left" w:pos="5760"/>
        <w:tab w:val="left" w:pos="6480"/>
        <w:tab w:val="left" w:pos="7200"/>
        <w:tab w:val="left" w:pos="7920"/>
      </w:tabs>
      <w:ind w:left="5040" w:hanging="360"/>
    </w:pPr>
    <w:rPr>
      <w:szCs w:val="20"/>
      <w:lang w:eastAsia="en-CA"/>
    </w:rPr>
  </w:style>
  <w:style w:type="paragraph" w:customStyle="1" w:styleId="Outline0018">
    <w:name w:val="Outline001_8"/>
    <w:basedOn w:val="Normal"/>
    <w:rsid w:val="00DA58C6"/>
    <w:pPr>
      <w:widowControl w:val="0"/>
      <w:tabs>
        <w:tab w:val="left" w:pos="5760"/>
        <w:tab w:val="left" w:pos="6480"/>
        <w:tab w:val="left" w:pos="7200"/>
        <w:tab w:val="left" w:pos="7920"/>
      </w:tabs>
      <w:ind w:left="5760" w:hanging="360"/>
    </w:pPr>
    <w:rPr>
      <w:szCs w:val="20"/>
      <w:lang w:eastAsia="en-CA"/>
    </w:rPr>
  </w:style>
  <w:style w:type="paragraph" w:customStyle="1" w:styleId="Outline0019">
    <w:name w:val="Outline001_9"/>
    <w:basedOn w:val="Normal"/>
    <w:rsid w:val="00DA58C6"/>
    <w:pPr>
      <w:widowControl w:val="0"/>
      <w:tabs>
        <w:tab w:val="left" w:pos="0"/>
        <w:tab w:val="left" w:pos="720"/>
        <w:tab w:val="left" w:pos="1440"/>
      </w:tabs>
      <w:ind w:hanging="180"/>
    </w:pPr>
    <w:rPr>
      <w:szCs w:val="20"/>
      <w:lang w:eastAsia="en-CA"/>
    </w:rPr>
  </w:style>
  <w:style w:type="paragraph" w:customStyle="1" w:styleId="Level2">
    <w:name w:val="Level 2"/>
    <w:basedOn w:val="Normal"/>
    <w:rsid w:val="00DA58C6"/>
    <w:pPr>
      <w:widowControl w:val="0"/>
    </w:pPr>
    <w:rPr>
      <w:szCs w:val="20"/>
      <w:lang w:eastAsia="en-CA"/>
    </w:rPr>
  </w:style>
  <w:style w:type="paragraph" w:customStyle="1" w:styleId="Level3">
    <w:name w:val="Level 3"/>
    <w:basedOn w:val="Normal"/>
    <w:rsid w:val="00DA58C6"/>
    <w:pPr>
      <w:widowControl w:val="0"/>
    </w:pPr>
    <w:rPr>
      <w:szCs w:val="20"/>
      <w:lang w:eastAsia="en-CA"/>
    </w:rPr>
  </w:style>
  <w:style w:type="paragraph" w:customStyle="1" w:styleId="Level4">
    <w:name w:val="Level 4"/>
    <w:basedOn w:val="Normal"/>
    <w:rsid w:val="00DA58C6"/>
    <w:pPr>
      <w:widowControl w:val="0"/>
    </w:pPr>
    <w:rPr>
      <w:szCs w:val="20"/>
      <w:lang w:eastAsia="en-CA"/>
    </w:rPr>
  </w:style>
  <w:style w:type="paragraph" w:customStyle="1" w:styleId="Level5">
    <w:name w:val="Level 5"/>
    <w:basedOn w:val="Normal"/>
    <w:rsid w:val="00DA58C6"/>
    <w:pPr>
      <w:widowControl w:val="0"/>
    </w:pPr>
    <w:rPr>
      <w:szCs w:val="20"/>
      <w:lang w:eastAsia="en-CA"/>
    </w:rPr>
  </w:style>
  <w:style w:type="paragraph" w:customStyle="1" w:styleId="Level6">
    <w:name w:val="Level 6"/>
    <w:basedOn w:val="Normal"/>
    <w:rsid w:val="00DA58C6"/>
    <w:pPr>
      <w:widowControl w:val="0"/>
    </w:pPr>
    <w:rPr>
      <w:szCs w:val="20"/>
      <w:lang w:eastAsia="en-CA"/>
    </w:rPr>
  </w:style>
  <w:style w:type="paragraph" w:customStyle="1" w:styleId="Level7">
    <w:name w:val="Level 7"/>
    <w:basedOn w:val="Normal"/>
    <w:rsid w:val="00DA58C6"/>
    <w:pPr>
      <w:widowControl w:val="0"/>
    </w:pPr>
    <w:rPr>
      <w:szCs w:val="20"/>
      <w:lang w:eastAsia="en-CA"/>
    </w:rPr>
  </w:style>
  <w:style w:type="paragraph" w:customStyle="1" w:styleId="Level8">
    <w:name w:val="Level 8"/>
    <w:basedOn w:val="Normal"/>
    <w:rsid w:val="00DA58C6"/>
    <w:pPr>
      <w:widowControl w:val="0"/>
    </w:pPr>
    <w:rPr>
      <w:szCs w:val="20"/>
      <w:lang w:eastAsia="en-CA"/>
    </w:rPr>
  </w:style>
  <w:style w:type="paragraph" w:customStyle="1" w:styleId="Level9">
    <w:name w:val="Level 9"/>
    <w:basedOn w:val="Normal"/>
    <w:rsid w:val="00DA58C6"/>
    <w:pPr>
      <w:widowControl w:val="0"/>
    </w:pPr>
    <w:rPr>
      <w:szCs w:val="20"/>
      <w:lang w:eastAsia="en-CA"/>
    </w:rPr>
  </w:style>
  <w:style w:type="paragraph" w:customStyle="1" w:styleId="26">
    <w:name w:val="_26"/>
    <w:basedOn w:val="Normal"/>
    <w:rsid w:val="00DA58C6"/>
    <w:pPr>
      <w:widowControl w:val="0"/>
    </w:pPr>
    <w:rPr>
      <w:szCs w:val="20"/>
      <w:lang w:eastAsia="en-CA"/>
    </w:rPr>
  </w:style>
  <w:style w:type="paragraph" w:customStyle="1" w:styleId="25">
    <w:name w:val="_25"/>
    <w:basedOn w:val="Normal"/>
    <w:rsid w:val="00DA58C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szCs w:val="20"/>
      <w:lang w:eastAsia="en-CA"/>
    </w:rPr>
  </w:style>
  <w:style w:type="paragraph" w:customStyle="1" w:styleId="24">
    <w:name w:val="_24"/>
    <w:basedOn w:val="Normal"/>
    <w:rsid w:val="00DA58C6"/>
    <w:pPr>
      <w:widowControl w:val="0"/>
      <w:tabs>
        <w:tab w:val="left" w:pos="2160"/>
        <w:tab w:val="left" w:pos="2880"/>
        <w:tab w:val="left" w:pos="3600"/>
        <w:tab w:val="left" w:pos="4320"/>
        <w:tab w:val="left" w:pos="5040"/>
        <w:tab w:val="left" w:pos="5760"/>
        <w:tab w:val="left" w:pos="6480"/>
        <w:tab w:val="left" w:pos="7200"/>
        <w:tab w:val="left" w:pos="7920"/>
      </w:tabs>
      <w:ind w:left="2160"/>
    </w:pPr>
    <w:rPr>
      <w:szCs w:val="20"/>
      <w:lang w:eastAsia="en-CA"/>
    </w:rPr>
  </w:style>
  <w:style w:type="paragraph" w:customStyle="1" w:styleId="23">
    <w:name w:val="_23"/>
    <w:basedOn w:val="Normal"/>
    <w:rsid w:val="00DA58C6"/>
    <w:pPr>
      <w:widowControl w:val="0"/>
      <w:tabs>
        <w:tab w:val="left" w:pos="2880"/>
        <w:tab w:val="left" w:pos="3600"/>
        <w:tab w:val="left" w:pos="4320"/>
        <w:tab w:val="left" w:pos="5040"/>
        <w:tab w:val="left" w:pos="5760"/>
        <w:tab w:val="left" w:pos="6480"/>
        <w:tab w:val="left" w:pos="7200"/>
        <w:tab w:val="left" w:pos="7920"/>
      </w:tabs>
      <w:ind w:left="2880"/>
    </w:pPr>
    <w:rPr>
      <w:szCs w:val="20"/>
      <w:lang w:eastAsia="en-CA"/>
    </w:rPr>
  </w:style>
  <w:style w:type="paragraph" w:customStyle="1" w:styleId="22">
    <w:name w:val="_22"/>
    <w:basedOn w:val="Normal"/>
    <w:rsid w:val="00DA58C6"/>
    <w:pPr>
      <w:widowControl w:val="0"/>
      <w:tabs>
        <w:tab w:val="left" w:pos="3600"/>
        <w:tab w:val="left" w:pos="4320"/>
        <w:tab w:val="left" w:pos="5040"/>
        <w:tab w:val="left" w:pos="5760"/>
        <w:tab w:val="left" w:pos="6480"/>
        <w:tab w:val="left" w:pos="7200"/>
        <w:tab w:val="left" w:pos="7920"/>
      </w:tabs>
      <w:ind w:left="3600"/>
    </w:pPr>
    <w:rPr>
      <w:szCs w:val="20"/>
      <w:lang w:eastAsia="en-CA"/>
    </w:rPr>
  </w:style>
  <w:style w:type="paragraph" w:customStyle="1" w:styleId="21">
    <w:name w:val="_21"/>
    <w:basedOn w:val="Normal"/>
    <w:rsid w:val="00DA58C6"/>
    <w:pPr>
      <w:widowControl w:val="0"/>
      <w:tabs>
        <w:tab w:val="left" w:pos="4320"/>
        <w:tab w:val="left" w:pos="5040"/>
        <w:tab w:val="left" w:pos="5760"/>
        <w:tab w:val="left" w:pos="6480"/>
        <w:tab w:val="left" w:pos="7200"/>
        <w:tab w:val="left" w:pos="7920"/>
      </w:tabs>
      <w:ind w:left="4320"/>
    </w:pPr>
    <w:rPr>
      <w:szCs w:val="20"/>
      <w:lang w:eastAsia="en-CA"/>
    </w:rPr>
  </w:style>
  <w:style w:type="paragraph" w:customStyle="1" w:styleId="20">
    <w:name w:val="_20"/>
    <w:basedOn w:val="Normal"/>
    <w:rsid w:val="00DA58C6"/>
    <w:pPr>
      <w:widowControl w:val="0"/>
      <w:tabs>
        <w:tab w:val="left" w:pos="5040"/>
        <w:tab w:val="left" w:pos="5760"/>
        <w:tab w:val="left" w:pos="6480"/>
        <w:tab w:val="left" w:pos="7200"/>
        <w:tab w:val="left" w:pos="7920"/>
      </w:tabs>
      <w:ind w:left="5040"/>
    </w:pPr>
    <w:rPr>
      <w:szCs w:val="20"/>
      <w:lang w:eastAsia="en-CA"/>
    </w:rPr>
  </w:style>
  <w:style w:type="paragraph" w:customStyle="1" w:styleId="19">
    <w:name w:val="_19"/>
    <w:basedOn w:val="Normal"/>
    <w:rsid w:val="00DA58C6"/>
    <w:pPr>
      <w:widowControl w:val="0"/>
      <w:tabs>
        <w:tab w:val="left" w:pos="5760"/>
        <w:tab w:val="left" w:pos="6480"/>
        <w:tab w:val="left" w:pos="7200"/>
        <w:tab w:val="left" w:pos="7920"/>
      </w:tabs>
      <w:ind w:left="5760"/>
    </w:pPr>
    <w:rPr>
      <w:szCs w:val="20"/>
      <w:lang w:eastAsia="en-CA"/>
    </w:rPr>
  </w:style>
  <w:style w:type="paragraph" w:customStyle="1" w:styleId="18">
    <w:name w:val="_18"/>
    <w:basedOn w:val="Normal"/>
    <w:rsid w:val="00DA58C6"/>
    <w:pPr>
      <w:widowControl w:val="0"/>
      <w:tabs>
        <w:tab w:val="left" w:pos="6480"/>
        <w:tab w:val="left" w:pos="7200"/>
        <w:tab w:val="left" w:pos="7920"/>
      </w:tabs>
      <w:ind w:left="6480"/>
    </w:pPr>
    <w:rPr>
      <w:szCs w:val="20"/>
      <w:lang w:eastAsia="en-CA"/>
    </w:rPr>
  </w:style>
  <w:style w:type="paragraph" w:customStyle="1" w:styleId="17">
    <w:name w:val="_17"/>
    <w:basedOn w:val="Normal"/>
    <w:rsid w:val="00DA58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szCs w:val="20"/>
      <w:lang w:eastAsia="en-CA"/>
    </w:rPr>
  </w:style>
  <w:style w:type="paragraph" w:customStyle="1" w:styleId="16">
    <w:name w:val="_16"/>
    <w:basedOn w:val="Normal"/>
    <w:rsid w:val="00DA58C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szCs w:val="20"/>
      <w:lang w:eastAsia="en-CA"/>
    </w:rPr>
  </w:style>
  <w:style w:type="paragraph" w:customStyle="1" w:styleId="15">
    <w:name w:val="_15"/>
    <w:basedOn w:val="Normal"/>
    <w:rsid w:val="00DA58C6"/>
    <w:pPr>
      <w:widowControl w:val="0"/>
      <w:tabs>
        <w:tab w:val="left" w:pos="2160"/>
        <w:tab w:val="left" w:pos="2880"/>
        <w:tab w:val="left" w:pos="3600"/>
        <w:tab w:val="left" w:pos="4320"/>
        <w:tab w:val="left" w:pos="5040"/>
        <w:tab w:val="left" w:pos="5760"/>
        <w:tab w:val="left" w:pos="6480"/>
        <w:tab w:val="left" w:pos="7200"/>
        <w:tab w:val="left" w:pos="7920"/>
      </w:tabs>
      <w:ind w:left="2160"/>
    </w:pPr>
    <w:rPr>
      <w:szCs w:val="20"/>
      <w:lang w:eastAsia="en-CA"/>
    </w:rPr>
  </w:style>
  <w:style w:type="paragraph" w:customStyle="1" w:styleId="14">
    <w:name w:val="_14"/>
    <w:basedOn w:val="Normal"/>
    <w:rsid w:val="00DA58C6"/>
    <w:pPr>
      <w:widowControl w:val="0"/>
      <w:tabs>
        <w:tab w:val="left" w:pos="2880"/>
        <w:tab w:val="left" w:pos="3600"/>
        <w:tab w:val="left" w:pos="4320"/>
        <w:tab w:val="left" w:pos="5040"/>
        <w:tab w:val="left" w:pos="5760"/>
        <w:tab w:val="left" w:pos="6480"/>
        <w:tab w:val="left" w:pos="7200"/>
        <w:tab w:val="left" w:pos="7920"/>
      </w:tabs>
      <w:ind w:left="2880"/>
    </w:pPr>
    <w:rPr>
      <w:szCs w:val="20"/>
      <w:lang w:eastAsia="en-CA"/>
    </w:rPr>
  </w:style>
  <w:style w:type="paragraph" w:customStyle="1" w:styleId="13">
    <w:name w:val="_13"/>
    <w:basedOn w:val="Normal"/>
    <w:rsid w:val="00DA58C6"/>
    <w:pPr>
      <w:widowControl w:val="0"/>
      <w:tabs>
        <w:tab w:val="left" w:pos="3600"/>
        <w:tab w:val="left" w:pos="4320"/>
        <w:tab w:val="left" w:pos="5040"/>
        <w:tab w:val="left" w:pos="5760"/>
        <w:tab w:val="left" w:pos="6480"/>
        <w:tab w:val="left" w:pos="7200"/>
        <w:tab w:val="left" w:pos="7920"/>
      </w:tabs>
      <w:ind w:left="3600"/>
    </w:pPr>
    <w:rPr>
      <w:szCs w:val="20"/>
      <w:lang w:eastAsia="en-CA"/>
    </w:rPr>
  </w:style>
  <w:style w:type="paragraph" w:customStyle="1" w:styleId="12">
    <w:name w:val="_12"/>
    <w:basedOn w:val="Normal"/>
    <w:rsid w:val="00DA58C6"/>
    <w:pPr>
      <w:widowControl w:val="0"/>
      <w:tabs>
        <w:tab w:val="left" w:pos="4320"/>
        <w:tab w:val="left" w:pos="5040"/>
        <w:tab w:val="left" w:pos="5760"/>
        <w:tab w:val="left" w:pos="6480"/>
        <w:tab w:val="left" w:pos="7200"/>
        <w:tab w:val="left" w:pos="7920"/>
      </w:tabs>
      <w:ind w:left="4320"/>
    </w:pPr>
    <w:rPr>
      <w:szCs w:val="20"/>
      <w:lang w:eastAsia="en-CA"/>
    </w:rPr>
  </w:style>
  <w:style w:type="paragraph" w:customStyle="1" w:styleId="11">
    <w:name w:val="_11"/>
    <w:basedOn w:val="Normal"/>
    <w:rsid w:val="00DA58C6"/>
    <w:pPr>
      <w:widowControl w:val="0"/>
      <w:tabs>
        <w:tab w:val="left" w:pos="5040"/>
        <w:tab w:val="left" w:pos="5760"/>
        <w:tab w:val="left" w:pos="6480"/>
        <w:tab w:val="left" w:pos="7200"/>
        <w:tab w:val="left" w:pos="7920"/>
      </w:tabs>
      <w:ind w:left="5040"/>
    </w:pPr>
    <w:rPr>
      <w:szCs w:val="20"/>
      <w:lang w:eastAsia="en-CA"/>
    </w:rPr>
  </w:style>
  <w:style w:type="paragraph" w:customStyle="1" w:styleId="10">
    <w:name w:val="_10"/>
    <w:basedOn w:val="Normal"/>
    <w:rsid w:val="00DA58C6"/>
    <w:pPr>
      <w:widowControl w:val="0"/>
      <w:tabs>
        <w:tab w:val="left" w:pos="5760"/>
        <w:tab w:val="left" w:pos="6480"/>
        <w:tab w:val="left" w:pos="7200"/>
        <w:tab w:val="left" w:pos="7920"/>
      </w:tabs>
      <w:ind w:left="5760"/>
    </w:pPr>
    <w:rPr>
      <w:szCs w:val="20"/>
      <w:lang w:eastAsia="en-CA"/>
    </w:rPr>
  </w:style>
  <w:style w:type="paragraph" w:customStyle="1" w:styleId="9">
    <w:name w:val="_9"/>
    <w:basedOn w:val="Normal"/>
    <w:rsid w:val="00DA58C6"/>
    <w:pPr>
      <w:widowControl w:val="0"/>
      <w:tabs>
        <w:tab w:val="left" w:pos="6480"/>
        <w:tab w:val="left" w:pos="7200"/>
        <w:tab w:val="left" w:pos="7920"/>
      </w:tabs>
      <w:ind w:left="6480"/>
    </w:pPr>
    <w:rPr>
      <w:szCs w:val="20"/>
      <w:lang w:eastAsia="en-CA"/>
    </w:rPr>
  </w:style>
  <w:style w:type="paragraph" w:customStyle="1" w:styleId="8">
    <w:name w:val="_8"/>
    <w:basedOn w:val="Normal"/>
    <w:rsid w:val="00DA58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szCs w:val="20"/>
      <w:lang w:eastAsia="en-CA"/>
    </w:rPr>
  </w:style>
  <w:style w:type="paragraph" w:customStyle="1" w:styleId="7">
    <w:name w:val="_7"/>
    <w:basedOn w:val="Normal"/>
    <w:rsid w:val="00DA58C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szCs w:val="20"/>
      <w:lang w:eastAsia="en-CA"/>
    </w:rPr>
  </w:style>
  <w:style w:type="paragraph" w:customStyle="1" w:styleId="6">
    <w:name w:val="_6"/>
    <w:basedOn w:val="Normal"/>
    <w:rsid w:val="00DA58C6"/>
    <w:pPr>
      <w:widowControl w:val="0"/>
      <w:tabs>
        <w:tab w:val="left" w:pos="2160"/>
        <w:tab w:val="left" w:pos="2880"/>
        <w:tab w:val="left" w:pos="3600"/>
        <w:tab w:val="left" w:pos="4320"/>
        <w:tab w:val="left" w:pos="5040"/>
        <w:tab w:val="left" w:pos="5760"/>
        <w:tab w:val="left" w:pos="6480"/>
        <w:tab w:val="left" w:pos="7200"/>
        <w:tab w:val="left" w:pos="7920"/>
      </w:tabs>
      <w:ind w:left="2160"/>
    </w:pPr>
    <w:rPr>
      <w:szCs w:val="20"/>
      <w:lang w:eastAsia="en-CA"/>
    </w:rPr>
  </w:style>
  <w:style w:type="paragraph" w:customStyle="1" w:styleId="5">
    <w:name w:val="_5"/>
    <w:basedOn w:val="Normal"/>
    <w:rsid w:val="00DA58C6"/>
    <w:pPr>
      <w:widowControl w:val="0"/>
      <w:tabs>
        <w:tab w:val="left" w:pos="2880"/>
        <w:tab w:val="left" w:pos="3600"/>
        <w:tab w:val="left" w:pos="4320"/>
        <w:tab w:val="left" w:pos="5040"/>
        <w:tab w:val="left" w:pos="5760"/>
        <w:tab w:val="left" w:pos="6480"/>
        <w:tab w:val="left" w:pos="7200"/>
        <w:tab w:val="left" w:pos="7920"/>
      </w:tabs>
      <w:ind w:left="2880"/>
    </w:pPr>
    <w:rPr>
      <w:szCs w:val="20"/>
      <w:lang w:eastAsia="en-CA"/>
    </w:rPr>
  </w:style>
  <w:style w:type="paragraph" w:customStyle="1" w:styleId="4">
    <w:name w:val="_4"/>
    <w:basedOn w:val="Normal"/>
    <w:rsid w:val="00DA58C6"/>
    <w:pPr>
      <w:widowControl w:val="0"/>
      <w:tabs>
        <w:tab w:val="left" w:pos="3600"/>
        <w:tab w:val="left" w:pos="4320"/>
        <w:tab w:val="left" w:pos="5040"/>
        <w:tab w:val="left" w:pos="5760"/>
        <w:tab w:val="left" w:pos="6480"/>
        <w:tab w:val="left" w:pos="7200"/>
        <w:tab w:val="left" w:pos="7920"/>
      </w:tabs>
      <w:ind w:left="3600"/>
    </w:pPr>
    <w:rPr>
      <w:szCs w:val="20"/>
      <w:lang w:eastAsia="en-CA"/>
    </w:rPr>
  </w:style>
  <w:style w:type="paragraph" w:customStyle="1" w:styleId="3">
    <w:name w:val="_3"/>
    <w:basedOn w:val="Normal"/>
    <w:rsid w:val="00DA58C6"/>
    <w:pPr>
      <w:widowControl w:val="0"/>
      <w:tabs>
        <w:tab w:val="left" w:pos="4320"/>
        <w:tab w:val="left" w:pos="5040"/>
        <w:tab w:val="left" w:pos="5760"/>
        <w:tab w:val="left" w:pos="6480"/>
        <w:tab w:val="left" w:pos="7200"/>
        <w:tab w:val="left" w:pos="7920"/>
      </w:tabs>
      <w:ind w:left="4320"/>
    </w:pPr>
    <w:rPr>
      <w:szCs w:val="20"/>
      <w:lang w:eastAsia="en-CA"/>
    </w:rPr>
  </w:style>
  <w:style w:type="paragraph" w:customStyle="1" w:styleId="2">
    <w:name w:val="_2"/>
    <w:basedOn w:val="Normal"/>
    <w:rsid w:val="00DA58C6"/>
    <w:pPr>
      <w:widowControl w:val="0"/>
      <w:tabs>
        <w:tab w:val="left" w:pos="5040"/>
        <w:tab w:val="left" w:pos="5760"/>
        <w:tab w:val="left" w:pos="6480"/>
        <w:tab w:val="left" w:pos="7200"/>
        <w:tab w:val="left" w:pos="7920"/>
      </w:tabs>
      <w:ind w:left="5040"/>
    </w:pPr>
    <w:rPr>
      <w:szCs w:val="20"/>
      <w:lang w:eastAsia="en-CA"/>
    </w:rPr>
  </w:style>
  <w:style w:type="paragraph" w:customStyle="1" w:styleId="1">
    <w:name w:val="_1"/>
    <w:basedOn w:val="Normal"/>
    <w:rsid w:val="00DA58C6"/>
    <w:pPr>
      <w:widowControl w:val="0"/>
      <w:tabs>
        <w:tab w:val="left" w:pos="5760"/>
        <w:tab w:val="left" w:pos="6480"/>
        <w:tab w:val="left" w:pos="7200"/>
        <w:tab w:val="left" w:pos="7920"/>
      </w:tabs>
      <w:ind w:left="5760"/>
    </w:pPr>
    <w:rPr>
      <w:szCs w:val="20"/>
      <w:lang w:eastAsia="en-CA"/>
    </w:rPr>
  </w:style>
  <w:style w:type="paragraph" w:customStyle="1" w:styleId="a">
    <w:name w:val="_"/>
    <w:basedOn w:val="Normal"/>
    <w:rsid w:val="00DA58C6"/>
    <w:pPr>
      <w:widowControl w:val="0"/>
      <w:tabs>
        <w:tab w:val="left" w:pos="6480"/>
        <w:tab w:val="left" w:pos="7200"/>
        <w:tab w:val="left" w:pos="7920"/>
      </w:tabs>
      <w:ind w:left="6480"/>
    </w:pPr>
    <w:rPr>
      <w:szCs w:val="20"/>
      <w:lang w:eastAsia="en-CA"/>
    </w:rPr>
  </w:style>
  <w:style w:type="character" w:customStyle="1" w:styleId="DefaultPara">
    <w:name w:val="Default Para"/>
    <w:basedOn w:val="DefaultParagraphFont"/>
    <w:rsid w:val="00DA58C6"/>
  </w:style>
  <w:style w:type="paragraph" w:customStyle="1" w:styleId="footnotetex">
    <w:name w:val="footnote tex"/>
    <w:basedOn w:val="Normal"/>
    <w:rsid w:val="00DA58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sz w:val="20"/>
      <w:szCs w:val="20"/>
      <w:lang w:eastAsia="en-CA"/>
    </w:rPr>
  </w:style>
  <w:style w:type="character" w:customStyle="1" w:styleId="footnoteref">
    <w:name w:val="footnote ref"/>
    <w:rsid w:val="00DA58C6"/>
    <w:rPr>
      <w:vertAlign w:val="superscript"/>
    </w:rPr>
  </w:style>
  <w:style w:type="character" w:customStyle="1" w:styleId="CommentTextChar">
    <w:name w:val="Comment Text Char"/>
    <w:link w:val="CommentText"/>
    <w:locked/>
    <w:rsid w:val="00FC1B79"/>
    <w:rPr>
      <w:lang w:val="fr-CA" w:eastAsia="en-US" w:bidi="ar-SA"/>
    </w:rPr>
  </w:style>
  <w:style w:type="character" w:customStyle="1" w:styleId="HeaderChar">
    <w:name w:val="Header Char"/>
    <w:link w:val="Header"/>
    <w:rsid w:val="0081518B"/>
    <w:rPr>
      <w:rFonts w:ascii="Arial" w:hAnsi="Arial"/>
      <w:b/>
      <w:color w:val="008000"/>
      <w:sz w:val="32"/>
      <w:szCs w:val="24"/>
      <w:lang w:val="fr-CA" w:eastAsia="en-US" w:bidi="ar-SA"/>
    </w:rPr>
  </w:style>
  <w:style w:type="paragraph" w:styleId="TOC1">
    <w:name w:val="toc 1"/>
    <w:basedOn w:val="Normal"/>
    <w:next w:val="Normal"/>
    <w:autoRedefine/>
    <w:uiPriority w:val="39"/>
    <w:rsid w:val="004E3A4A"/>
  </w:style>
  <w:style w:type="paragraph" w:styleId="TOC3">
    <w:name w:val="toc 3"/>
    <w:basedOn w:val="Normal"/>
    <w:next w:val="Normal"/>
    <w:autoRedefine/>
    <w:uiPriority w:val="39"/>
    <w:rsid w:val="004E3A4A"/>
    <w:pPr>
      <w:ind w:left="480"/>
    </w:pPr>
  </w:style>
  <w:style w:type="character" w:customStyle="1" w:styleId="Heading2Char">
    <w:name w:val="Heading 2 Char"/>
    <w:link w:val="Heading2"/>
    <w:rsid w:val="00850ADF"/>
    <w:rPr>
      <w:rFonts w:ascii="Arial" w:hAnsi="Arial" w:cs="Arial"/>
      <w:b/>
      <w:bCs/>
      <w:iCs/>
      <w:sz w:val="28"/>
      <w:szCs w:val="28"/>
      <w:lang w:val="fr-CA"/>
    </w:rPr>
  </w:style>
  <w:style w:type="paragraph" w:styleId="TOC2">
    <w:name w:val="toc 2"/>
    <w:basedOn w:val="Normal"/>
    <w:next w:val="Normal"/>
    <w:autoRedefine/>
    <w:uiPriority w:val="39"/>
    <w:rsid w:val="00A34F7C"/>
    <w:pPr>
      <w:ind w:left="220"/>
    </w:pPr>
  </w:style>
  <w:style w:type="paragraph" w:styleId="BodyText">
    <w:name w:val="Body Text"/>
    <w:basedOn w:val="Normal"/>
    <w:rsid w:val="00694C85"/>
    <w:pPr>
      <w:spacing w:after="120"/>
    </w:pPr>
  </w:style>
  <w:style w:type="paragraph" w:styleId="ListBullet">
    <w:name w:val="List Bullet"/>
    <w:basedOn w:val="Normal"/>
    <w:uiPriority w:val="99"/>
    <w:unhideWhenUsed/>
    <w:rsid w:val="00BB48D8"/>
    <w:pPr>
      <w:numPr>
        <w:numId w:val="2"/>
      </w:numPr>
      <w:spacing w:after="200" w:line="276" w:lineRule="auto"/>
      <w:contextualSpacing/>
    </w:pPr>
    <w:rPr>
      <w:rFonts w:ascii="Calibri" w:eastAsia="Calibri" w:hAnsi="Calibri"/>
      <w:szCs w:val="22"/>
    </w:rPr>
  </w:style>
  <w:style w:type="paragraph" w:customStyle="1" w:styleId="1a">
    <w:name w:val="1"/>
    <w:basedOn w:val="Normal"/>
    <w:rsid w:val="00C0178F"/>
    <w:pPr>
      <w:tabs>
        <w:tab w:val="num" w:pos="360"/>
      </w:tabs>
      <w:spacing w:before="60" w:after="60"/>
    </w:pPr>
    <w:rPr>
      <w:rFonts w:ascii="Verdana" w:hAnsi="Verdana" w:cs="Verdana"/>
      <w:color w:val="091D5D"/>
      <w:sz w:val="16"/>
      <w:szCs w:val="16"/>
    </w:rPr>
  </w:style>
  <w:style w:type="paragraph" w:customStyle="1" w:styleId="StyleTimesNewRoman">
    <w:name w:val="Style Times New Roman"/>
    <w:basedOn w:val="BodyText2"/>
    <w:rsid w:val="00C0178F"/>
    <w:pPr>
      <w:overflowPunct w:val="0"/>
      <w:autoSpaceDE w:val="0"/>
      <w:autoSpaceDN w:val="0"/>
      <w:adjustRightInd w:val="0"/>
      <w:spacing w:after="0" w:line="240" w:lineRule="auto"/>
      <w:textAlignment w:val="baseline"/>
    </w:pPr>
    <w:rPr>
      <w:rFonts w:ascii="Garamond" w:hAnsi="Garamond"/>
      <w:sz w:val="24"/>
      <w:szCs w:val="20"/>
    </w:rPr>
  </w:style>
  <w:style w:type="paragraph" w:styleId="BodyText2">
    <w:name w:val="Body Text 2"/>
    <w:basedOn w:val="Normal"/>
    <w:link w:val="BodyText2Char"/>
    <w:rsid w:val="00C0178F"/>
    <w:pPr>
      <w:spacing w:after="120" w:line="480" w:lineRule="auto"/>
    </w:pPr>
  </w:style>
  <w:style w:type="character" w:customStyle="1" w:styleId="BodyText2Char">
    <w:name w:val="Body Text 2 Char"/>
    <w:link w:val="BodyText2"/>
    <w:rsid w:val="00C0178F"/>
    <w:rPr>
      <w:rFonts w:ascii="Arial" w:hAnsi="Arial"/>
      <w:sz w:val="22"/>
      <w:szCs w:val="24"/>
      <w:lang w:eastAsia="en-US"/>
    </w:rPr>
  </w:style>
  <w:style w:type="character" w:customStyle="1" w:styleId="FootnoteTextChar">
    <w:name w:val="Footnote Text Char"/>
    <w:link w:val="FootnoteText"/>
    <w:uiPriority w:val="99"/>
    <w:rsid w:val="002264AF"/>
    <w:rPr>
      <w:rFonts w:ascii="Arial" w:hAnsi="Arial"/>
      <w:lang w:eastAsia="en-US"/>
    </w:rPr>
  </w:style>
  <w:style w:type="character" w:styleId="FollowedHyperlink">
    <w:name w:val="FollowedHyperlink"/>
    <w:rsid w:val="00D151ED"/>
    <w:rPr>
      <w:color w:val="800080"/>
      <w:u w:val="single"/>
    </w:rPr>
  </w:style>
  <w:style w:type="paragraph" w:styleId="ListParagraph">
    <w:name w:val="List Paragraph"/>
    <w:aliases w:val="table bullets,List Paragraph1,Recommendation,List Paragraph11,L,List Paragraph2,CV text,Table text,F5 List Paragraph,Dot pt,List Paragraph111,Medium Grid 1 - Accent 21,Numbered Paragraph,Bullet text,Bullet 1,Numbered Para 1,3,BN 1"/>
    <w:basedOn w:val="Normal"/>
    <w:link w:val="ListParagraphChar"/>
    <w:uiPriority w:val="34"/>
    <w:qFormat/>
    <w:rsid w:val="009F28C4"/>
    <w:pPr>
      <w:numPr>
        <w:numId w:val="3"/>
      </w:numPr>
      <w:tabs>
        <w:tab w:val="left" w:pos="709"/>
      </w:tabs>
    </w:pPr>
  </w:style>
  <w:style w:type="paragraph" w:styleId="Revision">
    <w:name w:val="Revision"/>
    <w:hidden/>
    <w:uiPriority w:val="99"/>
    <w:semiHidden/>
    <w:rsid w:val="009E7EFD"/>
    <w:rPr>
      <w:rFonts w:ascii="Arial" w:hAnsi="Arial"/>
      <w:sz w:val="22"/>
      <w:szCs w:val="24"/>
    </w:rPr>
  </w:style>
  <w:style w:type="paragraph" w:styleId="NoSpacing">
    <w:name w:val="No Spacing"/>
    <w:uiPriority w:val="1"/>
    <w:qFormat/>
    <w:rsid w:val="004237D5"/>
    <w:rPr>
      <w:rFonts w:ascii="Arial" w:hAnsi="Arial"/>
      <w:sz w:val="22"/>
      <w:szCs w:val="24"/>
    </w:rPr>
  </w:style>
  <w:style w:type="character" w:customStyle="1" w:styleId="ListParagraphChar">
    <w:name w:val="List Paragraph Char"/>
    <w:aliases w:val="table bullets Char,List Paragraph1 Char,Recommendation Char,List Paragraph11 Char,L Char,List Paragraph2 Char,CV text Char,Table text Char,F5 List Paragraph Char,Dot pt Char,List Paragraph111 Char,Medium Grid 1 - Accent 21 Char"/>
    <w:link w:val="ListParagraph"/>
    <w:uiPriority w:val="34"/>
    <w:qFormat/>
    <w:locked/>
    <w:rsid w:val="009F28C4"/>
    <w:rPr>
      <w:rFonts w:ascii="Arial" w:hAnsi="Arial"/>
      <w:sz w:val="22"/>
      <w:szCs w:val="24"/>
      <w:lang w:val="fr-CA"/>
    </w:rPr>
  </w:style>
  <w:style w:type="table" w:customStyle="1" w:styleId="GridTable5Dark-Accent11">
    <w:name w:val="Grid Table 5 Dark - Accent 11"/>
    <w:basedOn w:val="TableNormal"/>
    <w:uiPriority w:val="50"/>
    <w:rsid w:val="005476F0"/>
    <w:rPr>
      <w:rFonts w:ascii="Calibri" w:eastAsia="Calibri" w:hAnsi="Calibri"/>
      <w:lang w:eastAsia="en-C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31">
    <w:name w:val="Grid Table 5 Dark - Accent 31"/>
    <w:basedOn w:val="TableNormal"/>
    <w:uiPriority w:val="50"/>
    <w:rsid w:val="00357D5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4-Accent31">
    <w:name w:val="Grid Table 4 - Accent 31"/>
    <w:basedOn w:val="TableNormal"/>
    <w:uiPriority w:val="49"/>
    <w:rsid w:val="0026665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EndnoteText">
    <w:name w:val="endnote text"/>
    <w:basedOn w:val="Normal"/>
    <w:link w:val="EndnoteTextChar"/>
    <w:semiHidden/>
    <w:unhideWhenUsed/>
    <w:rsid w:val="00F80B61"/>
    <w:rPr>
      <w:sz w:val="20"/>
      <w:szCs w:val="20"/>
    </w:rPr>
  </w:style>
  <w:style w:type="character" w:customStyle="1" w:styleId="EndnoteTextChar">
    <w:name w:val="Endnote Text Char"/>
    <w:basedOn w:val="DefaultParagraphFont"/>
    <w:link w:val="EndnoteText"/>
    <w:semiHidden/>
    <w:rsid w:val="00F80B61"/>
    <w:rPr>
      <w:rFonts w:ascii="Arial" w:hAnsi="Arial"/>
      <w:lang w:val="fr-CA"/>
    </w:rPr>
  </w:style>
  <w:style w:type="character" w:styleId="EndnoteReference">
    <w:name w:val="endnote reference"/>
    <w:basedOn w:val="DefaultParagraphFont"/>
    <w:semiHidden/>
    <w:unhideWhenUsed/>
    <w:rsid w:val="00F80B61"/>
    <w:rPr>
      <w:vertAlign w:val="superscript"/>
    </w:rPr>
  </w:style>
  <w:style w:type="paragraph" w:styleId="NormalIndent">
    <w:name w:val="Normal Indent"/>
    <w:basedOn w:val="Normal"/>
    <w:uiPriority w:val="99"/>
    <w:rsid w:val="00303FDB"/>
    <w:pPr>
      <w:spacing w:before="240"/>
      <w:ind w:left="720"/>
    </w:pPr>
    <w:rPr>
      <w:rFonts w:ascii="Courier New"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320382">
      <w:bodyDiv w:val="1"/>
      <w:marLeft w:val="0"/>
      <w:marRight w:val="0"/>
      <w:marTop w:val="0"/>
      <w:marBottom w:val="0"/>
      <w:divBdr>
        <w:top w:val="none" w:sz="0" w:space="0" w:color="auto"/>
        <w:left w:val="none" w:sz="0" w:space="0" w:color="auto"/>
        <w:bottom w:val="none" w:sz="0" w:space="0" w:color="auto"/>
        <w:right w:val="none" w:sz="0" w:space="0" w:color="auto"/>
      </w:divBdr>
    </w:div>
    <w:div w:id="559440546">
      <w:bodyDiv w:val="1"/>
      <w:marLeft w:val="0"/>
      <w:marRight w:val="0"/>
      <w:marTop w:val="0"/>
      <w:marBottom w:val="0"/>
      <w:divBdr>
        <w:top w:val="none" w:sz="0" w:space="0" w:color="auto"/>
        <w:left w:val="none" w:sz="0" w:space="0" w:color="auto"/>
        <w:bottom w:val="none" w:sz="0" w:space="0" w:color="auto"/>
        <w:right w:val="none" w:sz="0" w:space="0" w:color="auto"/>
      </w:divBdr>
      <w:divsChild>
        <w:div w:id="1959800005">
          <w:marLeft w:val="0"/>
          <w:marRight w:val="0"/>
          <w:marTop w:val="0"/>
          <w:marBottom w:val="0"/>
          <w:divBdr>
            <w:top w:val="none" w:sz="0" w:space="0" w:color="auto"/>
            <w:left w:val="none" w:sz="0" w:space="0" w:color="auto"/>
            <w:bottom w:val="none" w:sz="0" w:space="0" w:color="auto"/>
            <w:right w:val="none" w:sz="0" w:space="0" w:color="auto"/>
          </w:divBdr>
          <w:divsChild>
            <w:div w:id="1545949960">
              <w:marLeft w:val="0"/>
              <w:marRight w:val="0"/>
              <w:marTop w:val="0"/>
              <w:marBottom w:val="0"/>
              <w:divBdr>
                <w:top w:val="none" w:sz="0" w:space="0" w:color="auto"/>
                <w:left w:val="none" w:sz="0" w:space="0" w:color="auto"/>
                <w:bottom w:val="none" w:sz="0" w:space="0" w:color="auto"/>
                <w:right w:val="none" w:sz="0" w:space="0" w:color="auto"/>
              </w:divBdr>
              <w:divsChild>
                <w:div w:id="1317300901">
                  <w:marLeft w:val="0"/>
                  <w:marRight w:val="0"/>
                  <w:marTop w:val="0"/>
                  <w:marBottom w:val="0"/>
                  <w:divBdr>
                    <w:top w:val="none" w:sz="0" w:space="0" w:color="auto"/>
                    <w:left w:val="none" w:sz="0" w:space="0" w:color="auto"/>
                    <w:bottom w:val="none" w:sz="0" w:space="0" w:color="auto"/>
                    <w:right w:val="none" w:sz="0" w:space="0" w:color="auto"/>
                  </w:divBdr>
                  <w:divsChild>
                    <w:div w:id="377358675">
                      <w:marLeft w:val="2250"/>
                      <w:marRight w:val="2925"/>
                      <w:marTop w:val="0"/>
                      <w:marBottom w:val="0"/>
                      <w:divBdr>
                        <w:top w:val="none" w:sz="0" w:space="0" w:color="auto"/>
                        <w:left w:val="none" w:sz="0" w:space="0" w:color="auto"/>
                        <w:bottom w:val="none" w:sz="0" w:space="0" w:color="auto"/>
                        <w:right w:val="none" w:sz="0" w:space="0" w:color="auto"/>
                      </w:divBdr>
                      <w:divsChild>
                        <w:div w:id="1886285012">
                          <w:marLeft w:val="0"/>
                          <w:marRight w:val="0"/>
                          <w:marTop w:val="0"/>
                          <w:marBottom w:val="0"/>
                          <w:divBdr>
                            <w:top w:val="single" w:sz="6" w:space="0" w:color="CCCC99"/>
                            <w:left w:val="single" w:sz="6" w:space="0" w:color="CCCC99"/>
                            <w:bottom w:val="single" w:sz="6" w:space="0" w:color="CCCC99"/>
                            <w:right w:val="single" w:sz="6" w:space="0" w:color="CCCC99"/>
                          </w:divBdr>
                        </w:div>
                      </w:divsChild>
                    </w:div>
                  </w:divsChild>
                </w:div>
              </w:divsChild>
            </w:div>
          </w:divsChild>
        </w:div>
      </w:divsChild>
    </w:div>
    <w:div w:id="895820198">
      <w:bodyDiv w:val="1"/>
      <w:marLeft w:val="0"/>
      <w:marRight w:val="0"/>
      <w:marTop w:val="0"/>
      <w:marBottom w:val="0"/>
      <w:divBdr>
        <w:top w:val="none" w:sz="0" w:space="0" w:color="auto"/>
        <w:left w:val="none" w:sz="0" w:space="0" w:color="auto"/>
        <w:bottom w:val="none" w:sz="0" w:space="0" w:color="auto"/>
        <w:right w:val="none" w:sz="0" w:space="0" w:color="auto"/>
      </w:divBdr>
    </w:div>
    <w:div w:id="1016426353">
      <w:bodyDiv w:val="1"/>
      <w:marLeft w:val="0"/>
      <w:marRight w:val="0"/>
      <w:marTop w:val="0"/>
      <w:marBottom w:val="0"/>
      <w:divBdr>
        <w:top w:val="none" w:sz="0" w:space="0" w:color="auto"/>
        <w:left w:val="none" w:sz="0" w:space="0" w:color="auto"/>
        <w:bottom w:val="none" w:sz="0" w:space="0" w:color="auto"/>
        <w:right w:val="none" w:sz="0" w:space="0" w:color="auto"/>
      </w:divBdr>
    </w:div>
    <w:div w:id="1339886723">
      <w:bodyDiv w:val="1"/>
      <w:marLeft w:val="0"/>
      <w:marRight w:val="0"/>
      <w:marTop w:val="0"/>
      <w:marBottom w:val="0"/>
      <w:divBdr>
        <w:top w:val="none" w:sz="0" w:space="0" w:color="auto"/>
        <w:left w:val="none" w:sz="0" w:space="0" w:color="auto"/>
        <w:bottom w:val="none" w:sz="0" w:space="0" w:color="auto"/>
        <w:right w:val="none" w:sz="0" w:space="0" w:color="auto"/>
      </w:divBdr>
    </w:div>
    <w:div w:id="1451316439">
      <w:bodyDiv w:val="1"/>
      <w:marLeft w:val="0"/>
      <w:marRight w:val="0"/>
      <w:marTop w:val="0"/>
      <w:marBottom w:val="0"/>
      <w:divBdr>
        <w:top w:val="none" w:sz="0" w:space="0" w:color="auto"/>
        <w:left w:val="none" w:sz="0" w:space="0" w:color="auto"/>
        <w:bottom w:val="none" w:sz="0" w:space="0" w:color="auto"/>
        <w:right w:val="none" w:sz="0" w:space="0" w:color="auto"/>
      </w:divBdr>
      <w:divsChild>
        <w:div w:id="262343216">
          <w:marLeft w:val="0"/>
          <w:marRight w:val="0"/>
          <w:marTop w:val="0"/>
          <w:marBottom w:val="0"/>
          <w:divBdr>
            <w:top w:val="none" w:sz="0" w:space="0" w:color="11C9CB"/>
            <w:left w:val="none" w:sz="0" w:space="0" w:color="11C9CB"/>
            <w:bottom w:val="none" w:sz="0" w:space="0" w:color="11C9CB"/>
            <w:right w:val="none" w:sz="0" w:space="0" w:color="11C9CB"/>
          </w:divBdr>
          <w:divsChild>
            <w:div w:id="1342049822">
              <w:marLeft w:val="0"/>
              <w:marRight w:val="0"/>
              <w:marTop w:val="0"/>
              <w:marBottom w:val="0"/>
              <w:divBdr>
                <w:top w:val="none" w:sz="0" w:space="0" w:color="auto"/>
                <w:left w:val="none" w:sz="0" w:space="0" w:color="auto"/>
                <w:bottom w:val="none" w:sz="0" w:space="0" w:color="auto"/>
                <w:right w:val="none" w:sz="0" w:space="0" w:color="auto"/>
              </w:divBdr>
              <w:divsChild>
                <w:div w:id="198620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17848">
      <w:bodyDiv w:val="1"/>
      <w:marLeft w:val="0"/>
      <w:marRight w:val="0"/>
      <w:marTop w:val="0"/>
      <w:marBottom w:val="0"/>
      <w:divBdr>
        <w:top w:val="none" w:sz="0" w:space="0" w:color="auto"/>
        <w:left w:val="none" w:sz="0" w:space="0" w:color="auto"/>
        <w:bottom w:val="none" w:sz="0" w:space="0" w:color="auto"/>
        <w:right w:val="none" w:sz="0" w:space="0" w:color="auto"/>
      </w:divBdr>
    </w:div>
    <w:div w:id="208498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www.rncan.gc.ca/plans-rapports-rendement/196" TargetMode="Externa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mailto:nrcan.cceip-pciee.rncan@canada.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nrcan.cceip-pciee.rncan@canada.c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njc-cnm.gc.ca/s3/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E2355-1847-403C-9963-25F8070C7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3705</Words>
  <Characters>22997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eEII Applicants' Guide - Demonstrations</vt:lpstr>
    </vt:vector>
  </TitlesOfParts>
  <Company>NRCAN-RNCAN</Company>
  <LinksUpToDate>false</LinksUpToDate>
  <CharactersWithSpaces>26649</CharactersWithSpaces>
  <SharedDoc>false</SharedDoc>
  <HLinks>
    <vt:vector size="216" baseType="variant">
      <vt:variant>
        <vt:i4>4194336</vt:i4>
      </vt:variant>
      <vt:variant>
        <vt:i4>219</vt:i4>
      </vt:variant>
      <vt:variant>
        <vt:i4>0</vt:i4>
      </vt:variant>
      <vt:variant>
        <vt:i4>5</vt:i4>
      </vt:variant>
      <vt:variant>
        <vt:lpwstr>mailto:NRCan.EnergyInnovation-Innovationenergetique.RNCan@Canada.ca</vt:lpwstr>
      </vt:variant>
      <vt:variant>
        <vt:lpwstr/>
      </vt:variant>
      <vt:variant>
        <vt:i4>4194336</vt:i4>
      </vt:variant>
      <vt:variant>
        <vt:i4>213</vt:i4>
      </vt:variant>
      <vt:variant>
        <vt:i4>0</vt:i4>
      </vt:variant>
      <vt:variant>
        <vt:i4>5</vt:i4>
      </vt:variant>
      <vt:variant>
        <vt:lpwstr>mailto:NRCan.EnergyInnovation-Innovationenergetique.RNCan@Canada.ca</vt:lpwstr>
      </vt:variant>
      <vt:variant>
        <vt:lpwstr/>
      </vt:variant>
      <vt:variant>
        <vt:i4>5439491</vt:i4>
      </vt:variant>
      <vt:variant>
        <vt:i4>198</vt:i4>
      </vt:variant>
      <vt:variant>
        <vt:i4>0</vt:i4>
      </vt:variant>
      <vt:variant>
        <vt:i4>5</vt:i4>
      </vt:variant>
      <vt:variant>
        <vt:lpwstr>http://www.nrcan.gc.ca/energy/funding/current-funding-programs/12398</vt:lpwstr>
      </vt:variant>
      <vt:variant>
        <vt:lpwstr/>
      </vt:variant>
      <vt:variant>
        <vt:i4>1835067</vt:i4>
      </vt:variant>
      <vt:variant>
        <vt:i4>191</vt:i4>
      </vt:variant>
      <vt:variant>
        <vt:i4>0</vt:i4>
      </vt:variant>
      <vt:variant>
        <vt:i4>5</vt:i4>
      </vt:variant>
      <vt:variant>
        <vt:lpwstr/>
      </vt:variant>
      <vt:variant>
        <vt:lpwstr>_Toc484097241</vt:lpwstr>
      </vt:variant>
      <vt:variant>
        <vt:i4>1835067</vt:i4>
      </vt:variant>
      <vt:variant>
        <vt:i4>185</vt:i4>
      </vt:variant>
      <vt:variant>
        <vt:i4>0</vt:i4>
      </vt:variant>
      <vt:variant>
        <vt:i4>5</vt:i4>
      </vt:variant>
      <vt:variant>
        <vt:lpwstr/>
      </vt:variant>
      <vt:variant>
        <vt:lpwstr>_Toc484097240</vt:lpwstr>
      </vt:variant>
      <vt:variant>
        <vt:i4>1769531</vt:i4>
      </vt:variant>
      <vt:variant>
        <vt:i4>179</vt:i4>
      </vt:variant>
      <vt:variant>
        <vt:i4>0</vt:i4>
      </vt:variant>
      <vt:variant>
        <vt:i4>5</vt:i4>
      </vt:variant>
      <vt:variant>
        <vt:lpwstr/>
      </vt:variant>
      <vt:variant>
        <vt:lpwstr>_Toc484097239</vt:lpwstr>
      </vt:variant>
      <vt:variant>
        <vt:i4>1769531</vt:i4>
      </vt:variant>
      <vt:variant>
        <vt:i4>173</vt:i4>
      </vt:variant>
      <vt:variant>
        <vt:i4>0</vt:i4>
      </vt:variant>
      <vt:variant>
        <vt:i4>5</vt:i4>
      </vt:variant>
      <vt:variant>
        <vt:lpwstr/>
      </vt:variant>
      <vt:variant>
        <vt:lpwstr>_Toc484097238</vt:lpwstr>
      </vt:variant>
      <vt:variant>
        <vt:i4>1769531</vt:i4>
      </vt:variant>
      <vt:variant>
        <vt:i4>167</vt:i4>
      </vt:variant>
      <vt:variant>
        <vt:i4>0</vt:i4>
      </vt:variant>
      <vt:variant>
        <vt:i4>5</vt:i4>
      </vt:variant>
      <vt:variant>
        <vt:lpwstr/>
      </vt:variant>
      <vt:variant>
        <vt:lpwstr>_Toc484097237</vt:lpwstr>
      </vt:variant>
      <vt:variant>
        <vt:i4>1769531</vt:i4>
      </vt:variant>
      <vt:variant>
        <vt:i4>161</vt:i4>
      </vt:variant>
      <vt:variant>
        <vt:i4>0</vt:i4>
      </vt:variant>
      <vt:variant>
        <vt:i4>5</vt:i4>
      </vt:variant>
      <vt:variant>
        <vt:lpwstr/>
      </vt:variant>
      <vt:variant>
        <vt:lpwstr>_Toc484097236</vt:lpwstr>
      </vt:variant>
      <vt:variant>
        <vt:i4>1769531</vt:i4>
      </vt:variant>
      <vt:variant>
        <vt:i4>155</vt:i4>
      </vt:variant>
      <vt:variant>
        <vt:i4>0</vt:i4>
      </vt:variant>
      <vt:variant>
        <vt:i4>5</vt:i4>
      </vt:variant>
      <vt:variant>
        <vt:lpwstr/>
      </vt:variant>
      <vt:variant>
        <vt:lpwstr>_Toc484097235</vt:lpwstr>
      </vt:variant>
      <vt:variant>
        <vt:i4>1769531</vt:i4>
      </vt:variant>
      <vt:variant>
        <vt:i4>149</vt:i4>
      </vt:variant>
      <vt:variant>
        <vt:i4>0</vt:i4>
      </vt:variant>
      <vt:variant>
        <vt:i4>5</vt:i4>
      </vt:variant>
      <vt:variant>
        <vt:lpwstr/>
      </vt:variant>
      <vt:variant>
        <vt:lpwstr>_Toc484097234</vt:lpwstr>
      </vt:variant>
      <vt:variant>
        <vt:i4>1769531</vt:i4>
      </vt:variant>
      <vt:variant>
        <vt:i4>143</vt:i4>
      </vt:variant>
      <vt:variant>
        <vt:i4>0</vt:i4>
      </vt:variant>
      <vt:variant>
        <vt:i4>5</vt:i4>
      </vt:variant>
      <vt:variant>
        <vt:lpwstr/>
      </vt:variant>
      <vt:variant>
        <vt:lpwstr>_Toc484097233</vt:lpwstr>
      </vt:variant>
      <vt:variant>
        <vt:i4>1769531</vt:i4>
      </vt:variant>
      <vt:variant>
        <vt:i4>137</vt:i4>
      </vt:variant>
      <vt:variant>
        <vt:i4>0</vt:i4>
      </vt:variant>
      <vt:variant>
        <vt:i4>5</vt:i4>
      </vt:variant>
      <vt:variant>
        <vt:lpwstr/>
      </vt:variant>
      <vt:variant>
        <vt:lpwstr>_Toc484097232</vt:lpwstr>
      </vt:variant>
      <vt:variant>
        <vt:i4>1769531</vt:i4>
      </vt:variant>
      <vt:variant>
        <vt:i4>131</vt:i4>
      </vt:variant>
      <vt:variant>
        <vt:i4>0</vt:i4>
      </vt:variant>
      <vt:variant>
        <vt:i4>5</vt:i4>
      </vt:variant>
      <vt:variant>
        <vt:lpwstr/>
      </vt:variant>
      <vt:variant>
        <vt:lpwstr>_Toc484097231</vt:lpwstr>
      </vt:variant>
      <vt:variant>
        <vt:i4>1769531</vt:i4>
      </vt:variant>
      <vt:variant>
        <vt:i4>125</vt:i4>
      </vt:variant>
      <vt:variant>
        <vt:i4>0</vt:i4>
      </vt:variant>
      <vt:variant>
        <vt:i4>5</vt:i4>
      </vt:variant>
      <vt:variant>
        <vt:lpwstr/>
      </vt:variant>
      <vt:variant>
        <vt:lpwstr>_Toc484097230</vt:lpwstr>
      </vt:variant>
      <vt:variant>
        <vt:i4>1703995</vt:i4>
      </vt:variant>
      <vt:variant>
        <vt:i4>119</vt:i4>
      </vt:variant>
      <vt:variant>
        <vt:i4>0</vt:i4>
      </vt:variant>
      <vt:variant>
        <vt:i4>5</vt:i4>
      </vt:variant>
      <vt:variant>
        <vt:lpwstr/>
      </vt:variant>
      <vt:variant>
        <vt:lpwstr>_Toc484097229</vt:lpwstr>
      </vt:variant>
      <vt:variant>
        <vt:i4>1703995</vt:i4>
      </vt:variant>
      <vt:variant>
        <vt:i4>113</vt:i4>
      </vt:variant>
      <vt:variant>
        <vt:i4>0</vt:i4>
      </vt:variant>
      <vt:variant>
        <vt:i4>5</vt:i4>
      </vt:variant>
      <vt:variant>
        <vt:lpwstr/>
      </vt:variant>
      <vt:variant>
        <vt:lpwstr>_Toc484097228</vt:lpwstr>
      </vt:variant>
      <vt:variant>
        <vt:i4>1703995</vt:i4>
      </vt:variant>
      <vt:variant>
        <vt:i4>107</vt:i4>
      </vt:variant>
      <vt:variant>
        <vt:i4>0</vt:i4>
      </vt:variant>
      <vt:variant>
        <vt:i4>5</vt:i4>
      </vt:variant>
      <vt:variant>
        <vt:lpwstr/>
      </vt:variant>
      <vt:variant>
        <vt:lpwstr>_Toc484097227</vt:lpwstr>
      </vt:variant>
      <vt:variant>
        <vt:i4>1703995</vt:i4>
      </vt:variant>
      <vt:variant>
        <vt:i4>101</vt:i4>
      </vt:variant>
      <vt:variant>
        <vt:i4>0</vt:i4>
      </vt:variant>
      <vt:variant>
        <vt:i4>5</vt:i4>
      </vt:variant>
      <vt:variant>
        <vt:lpwstr/>
      </vt:variant>
      <vt:variant>
        <vt:lpwstr>_Toc484097226</vt:lpwstr>
      </vt:variant>
      <vt:variant>
        <vt:i4>1703995</vt:i4>
      </vt:variant>
      <vt:variant>
        <vt:i4>95</vt:i4>
      </vt:variant>
      <vt:variant>
        <vt:i4>0</vt:i4>
      </vt:variant>
      <vt:variant>
        <vt:i4>5</vt:i4>
      </vt:variant>
      <vt:variant>
        <vt:lpwstr/>
      </vt:variant>
      <vt:variant>
        <vt:lpwstr>_Toc484097225</vt:lpwstr>
      </vt:variant>
      <vt:variant>
        <vt:i4>1703995</vt:i4>
      </vt:variant>
      <vt:variant>
        <vt:i4>89</vt:i4>
      </vt:variant>
      <vt:variant>
        <vt:i4>0</vt:i4>
      </vt:variant>
      <vt:variant>
        <vt:i4>5</vt:i4>
      </vt:variant>
      <vt:variant>
        <vt:lpwstr/>
      </vt:variant>
      <vt:variant>
        <vt:lpwstr>_Toc484097224</vt:lpwstr>
      </vt:variant>
      <vt:variant>
        <vt:i4>1703995</vt:i4>
      </vt:variant>
      <vt:variant>
        <vt:i4>83</vt:i4>
      </vt:variant>
      <vt:variant>
        <vt:i4>0</vt:i4>
      </vt:variant>
      <vt:variant>
        <vt:i4>5</vt:i4>
      </vt:variant>
      <vt:variant>
        <vt:lpwstr/>
      </vt:variant>
      <vt:variant>
        <vt:lpwstr>_Toc484097223</vt:lpwstr>
      </vt:variant>
      <vt:variant>
        <vt:i4>1703995</vt:i4>
      </vt:variant>
      <vt:variant>
        <vt:i4>77</vt:i4>
      </vt:variant>
      <vt:variant>
        <vt:i4>0</vt:i4>
      </vt:variant>
      <vt:variant>
        <vt:i4>5</vt:i4>
      </vt:variant>
      <vt:variant>
        <vt:lpwstr/>
      </vt:variant>
      <vt:variant>
        <vt:lpwstr>_Toc484097222</vt:lpwstr>
      </vt:variant>
      <vt:variant>
        <vt:i4>1703995</vt:i4>
      </vt:variant>
      <vt:variant>
        <vt:i4>71</vt:i4>
      </vt:variant>
      <vt:variant>
        <vt:i4>0</vt:i4>
      </vt:variant>
      <vt:variant>
        <vt:i4>5</vt:i4>
      </vt:variant>
      <vt:variant>
        <vt:lpwstr/>
      </vt:variant>
      <vt:variant>
        <vt:lpwstr>_Toc484097221</vt:lpwstr>
      </vt:variant>
      <vt:variant>
        <vt:i4>1703995</vt:i4>
      </vt:variant>
      <vt:variant>
        <vt:i4>65</vt:i4>
      </vt:variant>
      <vt:variant>
        <vt:i4>0</vt:i4>
      </vt:variant>
      <vt:variant>
        <vt:i4>5</vt:i4>
      </vt:variant>
      <vt:variant>
        <vt:lpwstr/>
      </vt:variant>
      <vt:variant>
        <vt:lpwstr>_Toc484097220</vt:lpwstr>
      </vt:variant>
      <vt:variant>
        <vt:i4>1638459</vt:i4>
      </vt:variant>
      <vt:variant>
        <vt:i4>59</vt:i4>
      </vt:variant>
      <vt:variant>
        <vt:i4>0</vt:i4>
      </vt:variant>
      <vt:variant>
        <vt:i4>5</vt:i4>
      </vt:variant>
      <vt:variant>
        <vt:lpwstr/>
      </vt:variant>
      <vt:variant>
        <vt:lpwstr>_Toc484097219</vt:lpwstr>
      </vt:variant>
      <vt:variant>
        <vt:i4>1638459</vt:i4>
      </vt:variant>
      <vt:variant>
        <vt:i4>53</vt:i4>
      </vt:variant>
      <vt:variant>
        <vt:i4>0</vt:i4>
      </vt:variant>
      <vt:variant>
        <vt:i4>5</vt:i4>
      </vt:variant>
      <vt:variant>
        <vt:lpwstr/>
      </vt:variant>
      <vt:variant>
        <vt:lpwstr>_Toc484097218</vt:lpwstr>
      </vt:variant>
      <vt:variant>
        <vt:i4>1638459</vt:i4>
      </vt:variant>
      <vt:variant>
        <vt:i4>47</vt:i4>
      </vt:variant>
      <vt:variant>
        <vt:i4>0</vt:i4>
      </vt:variant>
      <vt:variant>
        <vt:i4>5</vt:i4>
      </vt:variant>
      <vt:variant>
        <vt:lpwstr/>
      </vt:variant>
      <vt:variant>
        <vt:lpwstr>_Toc484097217</vt:lpwstr>
      </vt:variant>
      <vt:variant>
        <vt:i4>1638459</vt:i4>
      </vt:variant>
      <vt:variant>
        <vt:i4>41</vt:i4>
      </vt:variant>
      <vt:variant>
        <vt:i4>0</vt:i4>
      </vt:variant>
      <vt:variant>
        <vt:i4>5</vt:i4>
      </vt:variant>
      <vt:variant>
        <vt:lpwstr/>
      </vt:variant>
      <vt:variant>
        <vt:lpwstr>_Toc484097216</vt:lpwstr>
      </vt:variant>
      <vt:variant>
        <vt:i4>1638459</vt:i4>
      </vt:variant>
      <vt:variant>
        <vt:i4>35</vt:i4>
      </vt:variant>
      <vt:variant>
        <vt:i4>0</vt:i4>
      </vt:variant>
      <vt:variant>
        <vt:i4>5</vt:i4>
      </vt:variant>
      <vt:variant>
        <vt:lpwstr/>
      </vt:variant>
      <vt:variant>
        <vt:lpwstr>_Toc484097215</vt:lpwstr>
      </vt:variant>
      <vt:variant>
        <vt:i4>1638459</vt:i4>
      </vt:variant>
      <vt:variant>
        <vt:i4>29</vt:i4>
      </vt:variant>
      <vt:variant>
        <vt:i4>0</vt:i4>
      </vt:variant>
      <vt:variant>
        <vt:i4>5</vt:i4>
      </vt:variant>
      <vt:variant>
        <vt:lpwstr/>
      </vt:variant>
      <vt:variant>
        <vt:lpwstr>_Toc484097214</vt:lpwstr>
      </vt:variant>
      <vt:variant>
        <vt:i4>1638459</vt:i4>
      </vt:variant>
      <vt:variant>
        <vt:i4>23</vt:i4>
      </vt:variant>
      <vt:variant>
        <vt:i4>0</vt:i4>
      </vt:variant>
      <vt:variant>
        <vt:i4>5</vt:i4>
      </vt:variant>
      <vt:variant>
        <vt:lpwstr/>
      </vt:variant>
      <vt:variant>
        <vt:lpwstr>_Toc484097213</vt:lpwstr>
      </vt:variant>
      <vt:variant>
        <vt:i4>1638459</vt:i4>
      </vt:variant>
      <vt:variant>
        <vt:i4>17</vt:i4>
      </vt:variant>
      <vt:variant>
        <vt:i4>0</vt:i4>
      </vt:variant>
      <vt:variant>
        <vt:i4>5</vt:i4>
      </vt:variant>
      <vt:variant>
        <vt:lpwstr/>
      </vt:variant>
      <vt:variant>
        <vt:lpwstr>_Toc484097212</vt:lpwstr>
      </vt:variant>
      <vt:variant>
        <vt:i4>1638459</vt:i4>
      </vt:variant>
      <vt:variant>
        <vt:i4>11</vt:i4>
      </vt:variant>
      <vt:variant>
        <vt:i4>0</vt:i4>
      </vt:variant>
      <vt:variant>
        <vt:i4>5</vt:i4>
      </vt:variant>
      <vt:variant>
        <vt:lpwstr/>
      </vt:variant>
      <vt:variant>
        <vt:lpwstr>_Toc484097211</vt:lpwstr>
      </vt:variant>
      <vt:variant>
        <vt:i4>1638459</vt:i4>
      </vt:variant>
      <vt:variant>
        <vt:i4>5</vt:i4>
      </vt:variant>
      <vt:variant>
        <vt:i4>0</vt:i4>
      </vt:variant>
      <vt:variant>
        <vt:i4>5</vt:i4>
      </vt:variant>
      <vt:variant>
        <vt:lpwstr/>
      </vt:variant>
      <vt:variant>
        <vt:lpwstr>_Toc484097210</vt:lpwstr>
      </vt:variant>
      <vt:variant>
        <vt:i4>4194336</vt:i4>
      </vt:variant>
      <vt:variant>
        <vt:i4>0</vt:i4>
      </vt:variant>
      <vt:variant>
        <vt:i4>0</vt:i4>
      </vt:variant>
      <vt:variant>
        <vt:i4>5</vt:i4>
      </vt:variant>
      <vt:variant>
        <vt:lpwstr>mailto:NRCan.EnergyInnovation-Innovationenergetique.RNCan@Canada.ca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eEII Applicants' Guide - Demonstrations</dc:title>
  <dc:creator>mwickham</dc:creator>
  <cp:keywords>ecoEII</cp:keywords>
  <cp:lastModifiedBy>Fenech, Kevin</cp:lastModifiedBy>
  <cp:revision>6</cp:revision>
  <cp:lastPrinted>2017-07-18T16:05:00Z</cp:lastPrinted>
  <dcterms:created xsi:type="dcterms:W3CDTF">2019-02-21T20:37:00Z</dcterms:created>
  <dcterms:modified xsi:type="dcterms:W3CDTF">2019-03-25T11:18:00Z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
    <vt:lpwstr>Clean Energy</vt:lpwstr>
  </property>
  <property fmtid="{D5CDD505-2E9C-101B-9397-08002B2CF9AE}" pid="3" name="Sub-Activity">
    <vt:lpwstr>Energy Science and Technology</vt:lpwstr>
  </property>
  <property fmtid="{D5CDD505-2E9C-101B-9397-08002B2CF9AE}" pid="4" name="Note">
    <vt:lpwstr>19</vt:lpwstr>
  </property>
  <property fmtid="{D5CDD505-2E9C-101B-9397-08002B2CF9AE}" pid="5" name="Note2">
    <vt:lpwstr>18</vt:lpwstr>
  </property>
  <property fmtid="{D5CDD505-2E9C-101B-9397-08002B2CF9AE}" pid="6" name="Quarter">
    <vt:lpwstr/>
  </property>
  <property fmtid="{D5CDD505-2E9C-101B-9397-08002B2CF9AE}" pid="7" name="Subjects">
    <vt:lpwstr>Small scale demonstrations</vt:lpwstr>
  </property>
  <property fmtid="{D5CDD505-2E9C-101B-9397-08002B2CF9AE}" pid="8" name="ContentType">
    <vt:lpwstr>Document</vt:lpwstr>
  </property>
  <property fmtid="{D5CDD505-2E9C-101B-9397-08002B2CF9AE}" pid="9" name="Sub-Sub-Activity">
    <vt:lpwstr/>
  </property>
  <property fmtid="{D5CDD505-2E9C-101B-9397-08002B2CF9AE}" pid="10" name="Language">
    <vt:lpwstr>English</vt:lpwstr>
  </property>
  <property fmtid="{D5CDD505-2E9C-101B-9397-08002B2CF9AE}" pid="11" name="Fiscal Year">
    <vt:lpwstr/>
  </property>
  <property fmtid="{D5CDD505-2E9C-101B-9397-08002B2CF9AE}" pid="12" name="Comments">
    <vt:lpwstr>Final Version before Launch</vt:lpwstr>
  </property>
</Properties>
</file>